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BFBFBF"/>
        </w:tblBorders>
        <w:tblLook w:val="00A0"/>
      </w:tblPr>
      <w:tblGrid>
        <w:gridCol w:w="2733"/>
        <w:gridCol w:w="6509"/>
      </w:tblGrid>
      <w:tr w:rsidR="002338C6" w:rsidRPr="0032757F" w:rsidTr="00DD198E">
        <w:tc>
          <w:tcPr>
            <w:tcW w:w="2733" w:type="dxa"/>
            <w:tcBorders>
              <w:bottom w:val="single" w:sz="18" w:space="0" w:color="BFBFBF"/>
            </w:tcBorders>
            <w:vAlign w:val="center"/>
          </w:tcPr>
          <w:p w:rsidR="002338C6" w:rsidRPr="0032757F" w:rsidRDefault="00CD38E1" w:rsidP="00A37173">
            <w:pPr>
              <w:pStyle w:val="NoSpacing"/>
            </w:pPr>
            <w:r>
              <w:rPr>
                <w:noProof/>
                <w:lang w:eastAsia="en-GB"/>
              </w:rPr>
              <w:drawing>
                <wp:inline distT="0" distB="0" distL="0" distR="0">
                  <wp:extent cx="1295400" cy="647700"/>
                  <wp:effectExtent l="19050" t="0" r="0" b="0"/>
                  <wp:docPr id="1" name="Picture 3" descr="Description: Greengagelogowithstraplin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gagelogowithstrapline_green"/>
                          <pic:cNvPicPr>
                            <a:picLocks noChangeAspect="1" noChangeArrowheads="1"/>
                          </pic:cNvPicPr>
                        </pic:nvPicPr>
                        <pic:blipFill>
                          <a:blip r:embed="rId7"/>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6509" w:type="dxa"/>
            <w:tcBorders>
              <w:bottom w:val="single" w:sz="18" w:space="0" w:color="BFBFBF"/>
            </w:tcBorders>
            <w:vAlign w:val="center"/>
          </w:tcPr>
          <w:p w:rsidR="002338C6" w:rsidRPr="0032757F" w:rsidRDefault="002338C6" w:rsidP="00DD198E">
            <w:pPr>
              <w:spacing w:after="0" w:line="240" w:lineRule="auto"/>
              <w:rPr>
                <w:color w:val="404040"/>
              </w:rPr>
            </w:pPr>
            <w:smartTag w:uri="urn:schemas-microsoft-com:office:smarttags" w:element="place">
              <w:r w:rsidRPr="0032757F">
                <w:rPr>
                  <w:color w:val="404040"/>
                </w:rPr>
                <w:t>Lancashire</w:t>
              </w:r>
            </w:smartTag>
            <w:r w:rsidRPr="0032757F">
              <w:rPr>
                <w:color w:val="404040"/>
              </w:rPr>
              <w:t xml:space="preserve"> Shadow Health and Wellbeing Board</w:t>
            </w:r>
          </w:p>
          <w:p w:rsidR="002338C6" w:rsidRPr="0032757F" w:rsidRDefault="002338C6" w:rsidP="00A37173">
            <w:pPr>
              <w:pStyle w:val="NoSpacing"/>
            </w:pPr>
            <w:r w:rsidRPr="0032757F">
              <w:rPr>
                <w:b/>
                <w:color w:val="006600"/>
              </w:rPr>
              <w:t>Intervention planning</w:t>
            </w:r>
          </w:p>
        </w:tc>
      </w:tr>
    </w:tbl>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1E20E1">
      <w:pPr>
        <w:pStyle w:val="NoSpacing"/>
        <w:rPr>
          <w:b/>
          <w:color w:val="003300"/>
        </w:rPr>
      </w:pPr>
      <w:r w:rsidRPr="0032757F">
        <w:rPr>
          <w:b/>
          <w:color w:val="003300"/>
        </w:rPr>
        <w:t>Purpose</w:t>
      </w:r>
    </w:p>
    <w:p w:rsidR="002338C6" w:rsidRPr="0032757F" w:rsidRDefault="002338C6" w:rsidP="00354264">
      <w:pPr>
        <w:pStyle w:val="NoSpacing"/>
      </w:pPr>
    </w:p>
    <w:p w:rsidR="002338C6" w:rsidRPr="0032757F" w:rsidRDefault="002338C6" w:rsidP="007918E1">
      <w:pPr>
        <w:pStyle w:val="NoSpacing"/>
        <w:jc w:val="both"/>
      </w:pPr>
      <w:r w:rsidRPr="0032757F">
        <w:t xml:space="preserve">This report sets out a template for use in preparation of the work programme for each of the Health and Wellbeing Board’s ten interventions.  The template is designed to; </w:t>
      </w:r>
    </w:p>
    <w:p w:rsidR="002338C6" w:rsidRPr="0032757F" w:rsidRDefault="002338C6" w:rsidP="007918E1">
      <w:pPr>
        <w:pStyle w:val="NoSpacing"/>
        <w:jc w:val="both"/>
      </w:pPr>
    </w:p>
    <w:p w:rsidR="002338C6" w:rsidRPr="0032757F" w:rsidRDefault="002338C6" w:rsidP="007918E1">
      <w:pPr>
        <w:pStyle w:val="NoSpacing"/>
        <w:numPr>
          <w:ilvl w:val="0"/>
          <w:numId w:val="3"/>
        </w:numPr>
        <w:jc w:val="both"/>
      </w:pPr>
      <w:r w:rsidRPr="0032757F">
        <w:t>Create clarity on the desired impact of each intervention and on the specific roles of partners in delivering the intervention.</w:t>
      </w:r>
    </w:p>
    <w:p w:rsidR="002338C6" w:rsidRPr="0032757F" w:rsidRDefault="002338C6" w:rsidP="007918E1">
      <w:pPr>
        <w:pStyle w:val="NoSpacing"/>
        <w:jc w:val="both"/>
      </w:pPr>
    </w:p>
    <w:p w:rsidR="002338C6" w:rsidRPr="0032757F" w:rsidRDefault="002338C6" w:rsidP="007918E1">
      <w:pPr>
        <w:pStyle w:val="NoSpacing"/>
        <w:numPr>
          <w:ilvl w:val="0"/>
          <w:numId w:val="3"/>
        </w:numPr>
        <w:jc w:val="both"/>
      </w:pPr>
      <w:r w:rsidRPr="0032757F">
        <w:t>Make explicit the shifts in ways of working that will allow partners to deliver the intervention.</w:t>
      </w: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1E20E1">
      <w:pPr>
        <w:pStyle w:val="NoSpacing"/>
        <w:rPr>
          <w:b/>
          <w:color w:val="003300"/>
        </w:rPr>
      </w:pPr>
      <w:r w:rsidRPr="0032757F">
        <w:rPr>
          <w:b/>
          <w:color w:val="003300"/>
        </w:rPr>
        <w:t>The planning template</w:t>
      </w: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FD71FB">
      <w:pPr>
        <w:pStyle w:val="NoSpacing"/>
        <w:numPr>
          <w:ilvl w:val="0"/>
          <w:numId w:val="7"/>
        </w:numPr>
        <w:rPr>
          <w:b/>
          <w:color w:val="404040"/>
        </w:rPr>
      </w:pPr>
      <w:r w:rsidRPr="0032757F">
        <w:rPr>
          <w:b/>
          <w:color w:val="404040"/>
        </w:rPr>
        <w:t>Reality</w:t>
      </w:r>
    </w:p>
    <w:p w:rsidR="002338C6" w:rsidRPr="0032757F" w:rsidRDefault="002338C6" w:rsidP="00354264">
      <w:pPr>
        <w:pStyle w:val="NoSpacing"/>
        <w:rPr>
          <w:i/>
        </w:rPr>
      </w:pPr>
      <w:r w:rsidRPr="0032757F">
        <w:rPr>
          <w:i/>
        </w:rPr>
        <w:t>What’s the current reality?</w:t>
      </w:r>
    </w:p>
    <w:p w:rsidR="002338C6" w:rsidRPr="0032757F" w:rsidRDefault="002338C6" w:rsidP="00354264">
      <w:pPr>
        <w:pStyle w:val="NoSpacing"/>
      </w:pPr>
    </w:p>
    <w:p w:rsidR="002338C6" w:rsidRPr="0032757F" w:rsidRDefault="002338C6" w:rsidP="00354264">
      <w:pPr>
        <w:pStyle w:val="NoSpacing"/>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2338C6" w:rsidRPr="0032757F" w:rsidTr="00DD198E">
        <w:tc>
          <w:tcPr>
            <w:tcW w:w="4503" w:type="dxa"/>
          </w:tcPr>
          <w:p w:rsidR="002338C6" w:rsidRPr="0032757F" w:rsidRDefault="002338C6" w:rsidP="001A0B23">
            <w:pPr>
              <w:pStyle w:val="NoSpacing"/>
              <w:numPr>
                <w:ilvl w:val="0"/>
                <w:numId w:val="17"/>
              </w:numPr>
            </w:pPr>
            <w:r w:rsidRPr="0032757F">
              <w:t>What is currently working well?</w:t>
            </w:r>
          </w:p>
        </w:tc>
        <w:tc>
          <w:tcPr>
            <w:tcW w:w="4739" w:type="dxa"/>
          </w:tcPr>
          <w:p w:rsidR="002338C6" w:rsidRPr="00DD3611" w:rsidRDefault="002338C6" w:rsidP="0093139F">
            <w:pPr>
              <w:pStyle w:val="NoSpacing"/>
              <w:rPr>
                <w:rFonts w:cs="Calibri"/>
                <w:color w:val="000000"/>
              </w:rPr>
            </w:pPr>
            <w:r w:rsidRPr="00DD3611">
              <w:rPr>
                <w:rFonts w:cs="Calibri"/>
                <w:color w:val="000000"/>
              </w:rPr>
              <w:t xml:space="preserve">Currently the number of women smoking at time of delivery (SATOD) is very slowly reducing across Lancashire; there is a need to accelerate the downward trend in order to reduce the number of babies born with potential life threatening </w:t>
            </w:r>
            <w:r>
              <w:rPr>
                <w:rFonts w:cs="Calibri"/>
                <w:color w:val="000000"/>
              </w:rPr>
              <w:t xml:space="preserve">and chronic lifelong term </w:t>
            </w:r>
            <w:r w:rsidRPr="00DD3611">
              <w:rPr>
                <w:rFonts w:cs="Calibri"/>
                <w:color w:val="000000"/>
              </w:rPr>
              <w:t xml:space="preserve">conditions caused by tobacco use during pregnancy. </w:t>
            </w:r>
            <w:r>
              <w:rPr>
                <w:rFonts w:cs="Calibri"/>
                <w:color w:val="000000"/>
              </w:rPr>
              <w:t>The provision of the service should be equitable across Lancashire and include equal access to the Incentive scheme, providing incentivised support to pregnant women. Currently the Pan Lancashire Tobacco Control leads oversee the implementation of the Pan Lancashire Tobacco Control Strategy, an overarching strategy which includes reducing the number of women who smoke during pregnancy.</w:t>
            </w:r>
          </w:p>
        </w:tc>
      </w:tr>
      <w:tr w:rsidR="002338C6" w:rsidRPr="0032757F" w:rsidTr="00DD198E">
        <w:tc>
          <w:tcPr>
            <w:tcW w:w="4503" w:type="dxa"/>
          </w:tcPr>
          <w:p w:rsidR="002338C6" w:rsidRPr="0032757F" w:rsidRDefault="002338C6" w:rsidP="001A0B23">
            <w:pPr>
              <w:pStyle w:val="NoSpacing"/>
              <w:numPr>
                <w:ilvl w:val="0"/>
                <w:numId w:val="9"/>
              </w:numPr>
            </w:pPr>
            <w:r w:rsidRPr="0032757F">
              <w:t>What is getting in the way of partners achieving desired impacts?</w:t>
            </w:r>
          </w:p>
        </w:tc>
        <w:tc>
          <w:tcPr>
            <w:tcW w:w="4739" w:type="dxa"/>
          </w:tcPr>
          <w:p w:rsidR="002338C6" w:rsidRDefault="002338C6" w:rsidP="00F83C8C">
            <w:pPr>
              <w:rPr>
                <w:rFonts w:cs="Calibri"/>
                <w:color w:val="000000"/>
              </w:rPr>
            </w:pPr>
            <w:r w:rsidRPr="00F83C8C">
              <w:rPr>
                <w:rFonts w:cs="Calibri"/>
                <w:color w:val="000000"/>
              </w:rPr>
              <w:t>The combination of the illicit tobacco industry and high le</w:t>
            </w:r>
            <w:r>
              <w:rPr>
                <w:rFonts w:cs="Calibri"/>
                <w:color w:val="000000"/>
              </w:rPr>
              <w:t>vels of deprivation in the county</w:t>
            </w:r>
            <w:r w:rsidRPr="00F83C8C">
              <w:rPr>
                <w:rFonts w:cs="Calibri"/>
                <w:color w:val="000000"/>
              </w:rPr>
              <w:t xml:space="preserve"> are totally entwined with the challenge of reducing the number of people who use tobacco.</w:t>
            </w:r>
            <w:r>
              <w:rPr>
                <w:rFonts w:cs="Calibri"/>
                <w:color w:val="000000"/>
              </w:rPr>
              <w:t xml:space="preserve"> Across </w:t>
            </w:r>
            <w:smartTag w:uri="urn:schemas-microsoft-com:office:smarttags" w:element="place">
              <w:r>
                <w:rPr>
                  <w:rFonts w:cs="Calibri"/>
                  <w:color w:val="000000"/>
                </w:rPr>
                <w:t>Lancashire</w:t>
              </w:r>
            </w:smartTag>
            <w:r>
              <w:rPr>
                <w:rFonts w:cs="Calibri"/>
                <w:color w:val="000000"/>
              </w:rPr>
              <w:t xml:space="preserve"> referral pathways are very different, access to nicotine replacement therapies are very varied and the social context is extremely diverse. The main issues which hinder partners achieving </w:t>
            </w:r>
            <w:r>
              <w:rPr>
                <w:rFonts w:cs="Calibri"/>
                <w:color w:val="000000"/>
              </w:rPr>
              <w:lastRenderedPageBreak/>
              <w:t>desired outcomes are:</w:t>
            </w:r>
          </w:p>
          <w:p w:rsidR="002338C6" w:rsidRPr="00F83C8C" w:rsidRDefault="002338C6" w:rsidP="00F83C8C">
            <w:pPr>
              <w:rPr>
                <w:rFonts w:cs="Calibri"/>
                <w:color w:val="000000"/>
              </w:rPr>
            </w:pPr>
            <w:r>
              <w:rPr>
                <w:rFonts w:cs="Calibri"/>
                <w:color w:val="000000"/>
              </w:rPr>
              <w:t>1.</w:t>
            </w:r>
            <w:r w:rsidRPr="00F83C8C">
              <w:rPr>
                <w:rFonts w:cs="Calibri"/>
                <w:color w:val="000000"/>
              </w:rPr>
              <w:tab/>
              <w:t xml:space="preserve">The </w:t>
            </w:r>
            <w:r>
              <w:rPr>
                <w:rFonts w:cs="Calibri"/>
                <w:color w:val="000000"/>
              </w:rPr>
              <w:t xml:space="preserve">lack of belief and knowledge about tobacco use and the harm it causes among providers and pregnant women often renders providers unable to </w:t>
            </w:r>
            <w:r w:rsidRPr="00F83C8C">
              <w:rPr>
                <w:rFonts w:cs="Calibri"/>
                <w:color w:val="000000"/>
              </w:rPr>
              <w:t xml:space="preserve">implement </w:t>
            </w:r>
            <w:r>
              <w:rPr>
                <w:rFonts w:cs="Calibri"/>
                <w:color w:val="000000"/>
              </w:rPr>
              <w:t xml:space="preserve">evidenced based </w:t>
            </w:r>
            <w:r w:rsidRPr="00F83C8C">
              <w:rPr>
                <w:rFonts w:cs="Calibri"/>
                <w:color w:val="000000"/>
              </w:rPr>
              <w:t>practices that encourage and support pregnant women to quit. (E.g. NICE Guidance)</w:t>
            </w:r>
          </w:p>
          <w:p w:rsidR="002338C6" w:rsidRPr="00F83C8C" w:rsidRDefault="002338C6" w:rsidP="00F83C8C">
            <w:pPr>
              <w:rPr>
                <w:rFonts w:cs="Calibri"/>
                <w:color w:val="000000"/>
              </w:rPr>
            </w:pPr>
            <w:r>
              <w:rPr>
                <w:rFonts w:cs="Calibri"/>
                <w:color w:val="000000"/>
              </w:rPr>
              <w:t>2</w:t>
            </w:r>
            <w:r w:rsidRPr="00F83C8C">
              <w:rPr>
                <w:rFonts w:cs="Calibri"/>
                <w:color w:val="000000"/>
              </w:rPr>
              <w:tab/>
              <w:t>Service providers do not consider it a priority target compared with other competing targets. Therefore, they experience difficulty implementing and adhering to local and national polices/guidelines.</w:t>
            </w:r>
          </w:p>
          <w:p w:rsidR="002338C6" w:rsidRDefault="002338C6" w:rsidP="00F83C8C">
            <w:pPr>
              <w:rPr>
                <w:rFonts w:cs="Calibri"/>
                <w:color w:val="000000"/>
              </w:rPr>
            </w:pPr>
            <w:r>
              <w:rPr>
                <w:rFonts w:cs="Calibri"/>
                <w:color w:val="000000"/>
              </w:rPr>
              <w:t>3</w:t>
            </w:r>
            <w:r w:rsidRPr="00F83C8C">
              <w:rPr>
                <w:rFonts w:cs="Calibri"/>
                <w:color w:val="000000"/>
              </w:rPr>
              <w:tab/>
            </w:r>
            <w:r>
              <w:rPr>
                <w:rFonts w:cs="Calibri"/>
                <w:color w:val="000000"/>
              </w:rPr>
              <w:t>Need to gain a better understanding of the barriers using insights from midwives and other professionals across Lancashire.</w:t>
            </w:r>
            <w:bookmarkStart w:id="0" w:name="_GoBack"/>
            <w:bookmarkEnd w:id="0"/>
          </w:p>
          <w:p w:rsidR="002338C6" w:rsidRPr="00F83C8C" w:rsidRDefault="002338C6" w:rsidP="00F83C8C">
            <w:pPr>
              <w:rPr>
                <w:rFonts w:cs="Calibri"/>
                <w:color w:val="000000"/>
              </w:rPr>
            </w:pPr>
            <w:r>
              <w:rPr>
                <w:rFonts w:cs="Calibri"/>
                <w:color w:val="000000"/>
              </w:rPr>
              <w:t>4</w:t>
            </w:r>
            <w:r w:rsidRPr="00F83C8C">
              <w:rPr>
                <w:rFonts w:cs="Calibri"/>
                <w:color w:val="000000"/>
              </w:rPr>
              <w:tab/>
            </w:r>
            <w:r>
              <w:rPr>
                <w:rFonts w:cs="Calibri"/>
                <w:color w:val="000000"/>
              </w:rPr>
              <w:t xml:space="preserve">Incorrect, inconsistent </w:t>
            </w:r>
            <w:r w:rsidRPr="00F83C8C">
              <w:rPr>
                <w:rFonts w:cs="Calibri"/>
                <w:color w:val="000000"/>
              </w:rPr>
              <w:t>data collection</w:t>
            </w:r>
            <w:r>
              <w:rPr>
                <w:rFonts w:cs="Calibri"/>
                <w:color w:val="000000"/>
              </w:rPr>
              <w:t>,</w:t>
            </w:r>
            <w:r w:rsidRPr="00F83C8C">
              <w:rPr>
                <w:rFonts w:cs="Calibri"/>
                <w:color w:val="000000"/>
              </w:rPr>
              <w:t xml:space="preserve"> exasperated by a level of deception regarding pregnant women self-reporting their smoking behaviour</w:t>
            </w:r>
            <w:r>
              <w:rPr>
                <w:rFonts w:cs="Calibri"/>
                <w:color w:val="000000"/>
              </w:rPr>
              <w:t xml:space="preserve"> results in unreliable results and great difficulty in agreeing investment priorities</w:t>
            </w:r>
            <w:r w:rsidRPr="00F83C8C">
              <w:rPr>
                <w:rFonts w:cs="Calibri"/>
                <w:color w:val="000000"/>
              </w:rPr>
              <w:t>.</w:t>
            </w:r>
          </w:p>
          <w:p w:rsidR="002338C6" w:rsidRPr="00F83C8C" w:rsidRDefault="002338C6" w:rsidP="00F83C8C">
            <w:pPr>
              <w:rPr>
                <w:rFonts w:cs="Calibri"/>
                <w:b/>
                <w:color w:val="000000"/>
                <w:u w:val="single"/>
              </w:rPr>
            </w:pPr>
            <w:r>
              <w:rPr>
                <w:rFonts w:cs="Calibri"/>
                <w:color w:val="000000"/>
              </w:rPr>
              <w:t>5</w:t>
            </w:r>
            <w:r w:rsidRPr="00F83C8C">
              <w:rPr>
                <w:rFonts w:cs="Calibri"/>
                <w:color w:val="000000"/>
              </w:rPr>
              <w:tab/>
              <w:t>Many pregnant women believe they cannot use NRT products whilst pregnant. This belief has reportedly been reinforced by some NHS staff and significant workers around pregnant women. The use of NRT is significantly better for pregnant women rather than continuing to use tobacco.</w:t>
            </w:r>
          </w:p>
          <w:p w:rsidR="002338C6" w:rsidRPr="00DD3611" w:rsidRDefault="002338C6">
            <w:pPr>
              <w:rPr>
                <w:rFonts w:cs="Calibri"/>
                <w:color w:val="000000"/>
              </w:rPr>
            </w:pPr>
            <w:r>
              <w:rPr>
                <w:rFonts w:cs="Calibri"/>
                <w:color w:val="000000"/>
              </w:rPr>
              <w:t xml:space="preserve">6              </w:t>
            </w:r>
            <w:r w:rsidRPr="00DD3611">
              <w:rPr>
                <w:rFonts w:cs="Calibri"/>
                <w:color w:val="000000"/>
              </w:rPr>
              <w:t>Lack of resour</w:t>
            </w:r>
            <w:r>
              <w:rPr>
                <w:rFonts w:cs="Calibri"/>
                <w:color w:val="000000"/>
              </w:rPr>
              <w:t>ces for specific project management</w:t>
            </w:r>
            <w:r w:rsidRPr="00DD3611">
              <w:rPr>
                <w:rFonts w:cs="Calibri"/>
                <w:color w:val="000000"/>
              </w:rPr>
              <w:t xml:space="preserve"> with capacity to co-ordinate and provide training, prepare papers and co-ordinate actions.</w:t>
            </w:r>
          </w:p>
        </w:tc>
      </w:tr>
      <w:tr w:rsidR="002338C6" w:rsidRPr="0032757F" w:rsidTr="00DD198E">
        <w:tc>
          <w:tcPr>
            <w:tcW w:w="4503" w:type="dxa"/>
          </w:tcPr>
          <w:p w:rsidR="002338C6" w:rsidRPr="0032757F" w:rsidRDefault="002338C6" w:rsidP="00DD198E">
            <w:pPr>
              <w:pStyle w:val="NoSpacing"/>
              <w:numPr>
                <w:ilvl w:val="0"/>
                <w:numId w:val="9"/>
              </w:numPr>
            </w:pPr>
            <w:r w:rsidRPr="0032757F">
              <w:lastRenderedPageBreak/>
              <w:t>Where are the gaps in service delivery that really matter?</w:t>
            </w:r>
          </w:p>
        </w:tc>
        <w:tc>
          <w:tcPr>
            <w:tcW w:w="4739" w:type="dxa"/>
          </w:tcPr>
          <w:p w:rsidR="002338C6" w:rsidRDefault="002338C6">
            <w:pPr>
              <w:rPr>
                <w:rFonts w:cs="Calibri"/>
                <w:color w:val="000000"/>
              </w:rPr>
            </w:pPr>
            <w:r w:rsidRPr="00DD3611">
              <w:rPr>
                <w:rFonts w:cs="Calibri"/>
                <w:color w:val="000000"/>
              </w:rPr>
              <w:t xml:space="preserve">Current gaps in service delivery are </w:t>
            </w:r>
            <w:r>
              <w:rPr>
                <w:rFonts w:cs="Calibri"/>
                <w:color w:val="000000"/>
              </w:rPr>
              <w:t xml:space="preserve">that </w:t>
            </w:r>
            <w:r w:rsidRPr="00DD3611">
              <w:rPr>
                <w:rFonts w:cs="Calibri"/>
                <w:color w:val="000000"/>
              </w:rPr>
              <w:t>pregnant women, who are smoking during their pregnancy, are either not being identified or not referred to specialist stop smoking services (LSSS)</w:t>
            </w:r>
            <w:r>
              <w:rPr>
                <w:rFonts w:cs="Calibri"/>
                <w:color w:val="000000"/>
              </w:rPr>
              <w:t xml:space="preserve"> at the beginning of their pregnancy</w:t>
            </w:r>
            <w:r w:rsidRPr="00DD3611">
              <w:rPr>
                <w:rFonts w:cs="Calibri"/>
                <w:color w:val="000000"/>
              </w:rPr>
              <w:t xml:space="preserve">. Additionally current maternity staff are not equipped with the tools or training to </w:t>
            </w:r>
            <w:r>
              <w:rPr>
                <w:rFonts w:cs="Calibri"/>
                <w:color w:val="000000"/>
              </w:rPr>
              <w:t>generate a teachable moment which</w:t>
            </w:r>
            <w:r w:rsidRPr="00DD3611">
              <w:rPr>
                <w:rFonts w:cs="Calibri"/>
                <w:color w:val="000000"/>
              </w:rPr>
              <w:t xml:space="preserve"> inspires motivation to accept support and quit </w:t>
            </w:r>
            <w:r w:rsidRPr="00DD3611">
              <w:rPr>
                <w:rFonts w:cs="Calibri"/>
                <w:color w:val="000000"/>
              </w:rPr>
              <w:lastRenderedPageBreak/>
              <w:t xml:space="preserve">using tobacco during their pregnancy.  </w:t>
            </w:r>
          </w:p>
          <w:p w:rsidR="002338C6" w:rsidRPr="00DD3611" w:rsidRDefault="002338C6" w:rsidP="00423C92">
            <w:pPr>
              <w:rPr>
                <w:rFonts w:cs="Calibri"/>
                <w:color w:val="000000"/>
              </w:rPr>
            </w:pPr>
            <w:r>
              <w:rPr>
                <w:rFonts w:cs="Calibri"/>
                <w:color w:val="000000"/>
              </w:rPr>
              <w:t>This is exacerbated by the lack of IT systems which would ensure referrals are made, information is correct and appointments are made promptly. Current systems and process are difficult to track, the pathway being dependant on someone going to the office etc.</w:t>
            </w:r>
          </w:p>
        </w:tc>
      </w:tr>
      <w:tr w:rsidR="002338C6" w:rsidRPr="0032757F" w:rsidTr="00DD198E">
        <w:tc>
          <w:tcPr>
            <w:tcW w:w="4503" w:type="dxa"/>
          </w:tcPr>
          <w:p w:rsidR="002338C6" w:rsidRPr="0032757F" w:rsidRDefault="002338C6" w:rsidP="00DD198E">
            <w:pPr>
              <w:pStyle w:val="NoSpacing"/>
              <w:numPr>
                <w:ilvl w:val="0"/>
                <w:numId w:val="9"/>
              </w:numPr>
            </w:pPr>
            <w:r w:rsidRPr="0032757F">
              <w:lastRenderedPageBreak/>
              <w:t>What are the issues and opportunities that must be addressed if we are to make a breakthrough?  i.e. what really matters?</w:t>
            </w:r>
          </w:p>
        </w:tc>
        <w:tc>
          <w:tcPr>
            <w:tcW w:w="4739" w:type="dxa"/>
          </w:tcPr>
          <w:p w:rsidR="002338C6" w:rsidRPr="00DD3611" w:rsidRDefault="002338C6">
            <w:pPr>
              <w:rPr>
                <w:rFonts w:cs="Calibri"/>
                <w:color w:val="000000"/>
              </w:rPr>
            </w:pPr>
            <w:r>
              <w:rPr>
                <w:rFonts w:cs="Calibri"/>
                <w:color w:val="000000"/>
              </w:rPr>
              <w:t>What really matters is</w:t>
            </w:r>
            <w:r w:rsidRPr="00DD3611">
              <w:rPr>
                <w:rFonts w:cs="Calibri"/>
                <w:color w:val="000000"/>
              </w:rPr>
              <w:t xml:space="preserve"> </w:t>
            </w:r>
            <w:r>
              <w:rPr>
                <w:rFonts w:cs="Calibri"/>
                <w:color w:val="000000"/>
              </w:rPr>
              <w:t xml:space="preserve">that </w:t>
            </w:r>
            <w:r w:rsidRPr="00DD3611">
              <w:rPr>
                <w:rFonts w:cs="Calibri"/>
                <w:color w:val="000000"/>
              </w:rPr>
              <w:t xml:space="preserve">all babies are given the best chance possible at the beginning, this should not be compromised by </w:t>
            </w:r>
            <w:r>
              <w:rPr>
                <w:rFonts w:cs="Calibri"/>
                <w:color w:val="000000"/>
              </w:rPr>
              <w:t>staff struggling to</w:t>
            </w:r>
            <w:r w:rsidRPr="00DD3611">
              <w:rPr>
                <w:rFonts w:cs="Calibri"/>
                <w:color w:val="000000"/>
              </w:rPr>
              <w:t xml:space="preserve"> address smoking  in pregnancy as a serious risk</w:t>
            </w:r>
            <w:r>
              <w:rPr>
                <w:rFonts w:cs="Calibri"/>
                <w:color w:val="000000"/>
              </w:rPr>
              <w:t xml:space="preserve">; by </w:t>
            </w:r>
            <w:r w:rsidRPr="00DD3611">
              <w:rPr>
                <w:rFonts w:cs="Calibri"/>
                <w:color w:val="000000"/>
              </w:rPr>
              <w:t xml:space="preserve"> referrals not being </w:t>
            </w:r>
            <w:r>
              <w:rPr>
                <w:rFonts w:cs="Calibri"/>
                <w:color w:val="000000"/>
              </w:rPr>
              <w:t xml:space="preserve">made  - consequently pregnant </w:t>
            </w:r>
            <w:r w:rsidRPr="00DD3611">
              <w:rPr>
                <w:rFonts w:cs="Calibri"/>
                <w:color w:val="000000"/>
              </w:rPr>
              <w:t xml:space="preserve">woman </w:t>
            </w:r>
            <w:r>
              <w:rPr>
                <w:rFonts w:cs="Calibri"/>
                <w:color w:val="000000"/>
              </w:rPr>
              <w:t>are left</w:t>
            </w:r>
            <w:r w:rsidRPr="00DD3611">
              <w:rPr>
                <w:rFonts w:cs="Calibri"/>
                <w:color w:val="000000"/>
              </w:rPr>
              <w:t xml:space="preserve"> ignorant of the risks smoking in pregnancy can cause:</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Premature birth,</w:t>
            </w:r>
            <w:r>
              <w:rPr>
                <w:rFonts w:cs="Calibri"/>
                <w:color w:val="000000"/>
              </w:rPr>
              <w:t xml:space="preserve"> full</w:t>
            </w:r>
            <w:r w:rsidRPr="00DD3611">
              <w:rPr>
                <w:rFonts w:cs="Calibri"/>
                <w:color w:val="000000"/>
              </w:rPr>
              <w:t xml:space="preserve"> term babies are healthier and stronger</w:t>
            </w:r>
          </w:p>
          <w:p w:rsidR="002338C6"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Low birth weight</w:t>
            </w:r>
            <w:r>
              <w:rPr>
                <w:rFonts w:cs="Calibri"/>
                <w:color w:val="000000"/>
              </w:rPr>
              <w:t xml:space="preserve"> </w:t>
            </w:r>
            <w:r w:rsidRPr="00DD3611">
              <w:rPr>
                <w:rFonts w:cs="Calibri"/>
                <w:color w:val="000000"/>
              </w:rPr>
              <w:t xml:space="preserve"> </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Pr>
                <w:rFonts w:cs="Calibri"/>
                <w:color w:val="000000"/>
              </w:rPr>
              <w:t>Still birth</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Decreased lung function of the developing baby</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Premature rupture of the membranes</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Increased heart rate and blood pressure of the mother</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Heavy bleeding caused by early detachment of the placenta from the wall of the uterus</w:t>
            </w:r>
          </w:p>
          <w:p w:rsidR="002338C6" w:rsidRPr="00DD3611"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Miscarriage: the risk of suffering a miscarriage is increase by 25% for a mother who has significant levels of CO in the body</w:t>
            </w:r>
          </w:p>
          <w:p w:rsidR="002338C6" w:rsidRDefault="002338C6" w:rsidP="00FB35B4">
            <w:pPr>
              <w:numPr>
                <w:ilvl w:val="3"/>
                <w:numId w:val="9"/>
              </w:numPr>
              <w:tabs>
                <w:tab w:val="clear" w:pos="2520"/>
                <w:tab w:val="num" w:pos="337"/>
              </w:tabs>
              <w:spacing w:line="240" w:lineRule="auto"/>
              <w:ind w:left="335" w:hanging="437"/>
              <w:rPr>
                <w:rFonts w:cs="Calibri"/>
                <w:color w:val="000000"/>
              </w:rPr>
            </w:pPr>
            <w:r w:rsidRPr="00DD3611">
              <w:rPr>
                <w:rFonts w:cs="Calibri"/>
                <w:color w:val="000000"/>
              </w:rPr>
              <w:t>Under development</w:t>
            </w:r>
          </w:p>
          <w:p w:rsidR="002338C6" w:rsidRPr="006F2221" w:rsidRDefault="002338C6" w:rsidP="006F2221">
            <w:pPr>
              <w:numPr>
                <w:ilvl w:val="3"/>
                <w:numId w:val="9"/>
              </w:numPr>
              <w:tabs>
                <w:tab w:val="clear" w:pos="2520"/>
                <w:tab w:val="num" w:pos="337"/>
              </w:tabs>
              <w:spacing w:line="240" w:lineRule="auto"/>
              <w:ind w:left="335" w:hanging="437"/>
              <w:rPr>
                <w:rFonts w:cs="Calibri"/>
                <w:color w:val="000000"/>
              </w:rPr>
            </w:pPr>
            <w:r>
              <w:rPr>
                <w:rFonts w:cs="Calibri"/>
                <w:color w:val="000000"/>
              </w:rPr>
              <w:t>Sudden Unexpected Death in Infants (SUDI)</w:t>
            </w:r>
          </w:p>
        </w:tc>
      </w:tr>
    </w:tbl>
    <w:p w:rsidR="002338C6" w:rsidRPr="0032757F" w:rsidRDefault="002338C6" w:rsidP="00354264">
      <w:pPr>
        <w:pStyle w:val="NoSpacing"/>
      </w:pPr>
    </w:p>
    <w:p w:rsidR="002338C6" w:rsidRPr="0032757F" w:rsidRDefault="002338C6" w:rsidP="00354264">
      <w:pPr>
        <w:pStyle w:val="NoSpacing"/>
        <w:rPr>
          <w:b/>
        </w:rPr>
      </w:pPr>
    </w:p>
    <w:p w:rsidR="002338C6" w:rsidRPr="0032757F" w:rsidRDefault="002338C6" w:rsidP="00354264">
      <w:pPr>
        <w:pStyle w:val="NoSpacing"/>
        <w:rPr>
          <w:b/>
          <w:color w:val="003300"/>
        </w:rPr>
      </w:pPr>
      <w:r w:rsidRPr="0032757F">
        <w:rPr>
          <w:b/>
          <w:color w:val="003300"/>
        </w:rPr>
        <w:t xml:space="preserve">2. </w:t>
      </w:r>
      <w:r w:rsidRPr="0032757F">
        <w:rPr>
          <w:b/>
          <w:color w:val="404040"/>
        </w:rPr>
        <w:t>Results</w:t>
      </w:r>
    </w:p>
    <w:p w:rsidR="002338C6" w:rsidRPr="0032757F" w:rsidRDefault="002338C6" w:rsidP="003A63C6">
      <w:pPr>
        <w:pStyle w:val="NoSpacing"/>
        <w:rPr>
          <w:i/>
        </w:rPr>
      </w:pPr>
      <w:r w:rsidRPr="0032757F">
        <w:rPr>
          <w:i/>
          <w:lang w:eastAsia="en-GB"/>
        </w:rPr>
        <w:t>What does success look like?</w:t>
      </w: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354264">
      <w:pPr>
        <w:pStyle w:val="NoSpacing"/>
        <w:rPr>
          <w:b/>
        </w:rPr>
      </w:pPr>
      <w:r w:rsidRPr="0032757F">
        <w:rPr>
          <w:b/>
        </w:rPr>
        <w:t>2.1 Longer-term impact</w:t>
      </w:r>
    </w:p>
    <w:p w:rsidR="002338C6" w:rsidRPr="0032757F" w:rsidRDefault="002338C6" w:rsidP="00354264">
      <w:pPr>
        <w:pStyle w:val="NoSpacing"/>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2338C6" w:rsidRPr="0032757F" w:rsidTr="00DD198E">
        <w:tc>
          <w:tcPr>
            <w:tcW w:w="4503" w:type="dxa"/>
          </w:tcPr>
          <w:p w:rsidR="002338C6" w:rsidRPr="0032757F" w:rsidRDefault="002338C6" w:rsidP="00DD198E">
            <w:pPr>
              <w:pStyle w:val="NoSpacing"/>
              <w:numPr>
                <w:ilvl w:val="0"/>
                <w:numId w:val="8"/>
              </w:numPr>
            </w:pPr>
            <w:r w:rsidRPr="0032757F">
              <w:t>What will be the 3 to 5 year impact of the intervention?</w:t>
            </w:r>
          </w:p>
        </w:tc>
        <w:tc>
          <w:tcPr>
            <w:tcW w:w="4739" w:type="dxa"/>
          </w:tcPr>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number of premature births</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Pr>
                <w:rFonts w:cs="Arial"/>
                <w:color w:val="000000"/>
              </w:rPr>
              <w:t xml:space="preserve">Less use of </w:t>
            </w:r>
            <w:r w:rsidRPr="00DD3611">
              <w:rPr>
                <w:rFonts w:cs="Arial"/>
                <w:color w:val="000000"/>
              </w:rPr>
              <w:t xml:space="preserve"> NNU cot days</w:t>
            </w:r>
            <w:r>
              <w:rPr>
                <w:rFonts w:cs="Arial"/>
                <w:color w:val="000000"/>
              </w:rPr>
              <w:t xml:space="preserve"> due to smoking</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low birth weight</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number of grommet operations</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acute asthma admissions in children</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hospital admissions in under 5s for acute upper and lower respiratory infections, acute bronchiolitis caused by second hand smoke</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the number of pregnancy and pre-term complications</w:t>
            </w:r>
          </w:p>
          <w:p w:rsidR="002338C6" w:rsidRPr="00DD3611" w:rsidRDefault="002338C6" w:rsidP="000A59DE">
            <w:pPr>
              <w:keepNext/>
              <w:numPr>
                <w:ilvl w:val="0"/>
                <w:numId w:val="18"/>
              </w:numPr>
              <w:tabs>
                <w:tab w:val="clear" w:pos="900"/>
                <w:tab w:val="num" w:pos="337"/>
              </w:tabs>
              <w:spacing w:after="0" w:line="240" w:lineRule="auto"/>
              <w:ind w:left="337"/>
              <w:rPr>
                <w:rFonts w:cs="Arial"/>
                <w:color w:val="000000"/>
              </w:rPr>
            </w:pPr>
            <w:r w:rsidRPr="00DD3611">
              <w:rPr>
                <w:rFonts w:cs="Arial"/>
                <w:color w:val="000000"/>
              </w:rPr>
              <w:t>Reduction in the number of SUDI associated with tobacco use</w:t>
            </w:r>
          </w:p>
          <w:p w:rsidR="002338C6" w:rsidRPr="00DD3611" w:rsidRDefault="002338C6" w:rsidP="00354264">
            <w:pPr>
              <w:pStyle w:val="NoSpacing"/>
              <w:rPr>
                <w:rFonts w:cs="Calibri"/>
                <w:b/>
                <w:color w:val="000000"/>
              </w:rPr>
            </w:pPr>
          </w:p>
        </w:tc>
      </w:tr>
      <w:tr w:rsidR="002338C6" w:rsidRPr="0032757F" w:rsidTr="00DD198E">
        <w:tc>
          <w:tcPr>
            <w:tcW w:w="4503" w:type="dxa"/>
          </w:tcPr>
          <w:p w:rsidR="002338C6" w:rsidRPr="0032757F" w:rsidRDefault="002338C6" w:rsidP="000A59DE">
            <w:pPr>
              <w:pStyle w:val="NoSpacing"/>
              <w:numPr>
                <w:ilvl w:val="0"/>
                <w:numId w:val="8"/>
              </w:numPr>
            </w:pPr>
            <w:r w:rsidRPr="0032757F">
              <w:t>What are the longer-term measures of success?</w:t>
            </w:r>
          </w:p>
        </w:tc>
        <w:tc>
          <w:tcPr>
            <w:tcW w:w="4739" w:type="dxa"/>
          </w:tcPr>
          <w:p w:rsidR="002338C6" w:rsidRPr="00DD3611" w:rsidRDefault="002338C6" w:rsidP="000A59DE">
            <w:pPr>
              <w:keepNext/>
              <w:numPr>
                <w:ilvl w:val="0"/>
                <w:numId w:val="18"/>
              </w:numPr>
              <w:tabs>
                <w:tab w:val="clear" w:pos="900"/>
                <w:tab w:val="num" w:pos="337"/>
              </w:tabs>
              <w:spacing w:before="240" w:after="60" w:line="240" w:lineRule="auto"/>
              <w:ind w:left="337" w:hanging="343"/>
              <w:outlineLvl w:val="2"/>
              <w:rPr>
                <w:rFonts w:cs="Arial"/>
                <w:color w:val="000000"/>
                <w:lang w:eastAsia="en-GB"/>
              </w:rPr>
            </w:pPr>
            <w:r w:rsidRPr="00DD3611">
              <w:rPr>
                <w:rFonts w:cs="Arial"/>
                <w:color w:val="000000"/>
                <w:lang w:eastAsia="en-GB"/>
              </w:rPr>
              <w:t>Reduced rates of women smoking at time of delivery</w:t>
            </w:r>
          </w:p>
          <w:p w:rsidR="002338C6" w:rsidRPr="00DD3611" w:rsidRDefault="002338C6" w:rsidP="000A59DE">
            <w:pPr>
              <w:keepNext/>
              <w:numPr>
                <w:ilvl w:val="0"/>
                <w:numId w:val="18"/>
              </w:numPr>
              <w:tabs>
                <w:tab w:val="clear" w:pos="900"/>
                <w:tab w:val="num" w:pos="337"/>
              </w:tabs>
              <w:spacing w:before="240" w:after="60" w:line="240" w:lineRule="auto"/>
              <w:ind w:left="337" w:hanging="343"/>
              <w:outlineLvl w:val="2"/>
              <w:rPr>
                <w:rFonts w:cs="Arial"/>
                <w:color w:val="000000"/>
                <w:lang w:eastAsia="en-GB"/>
              </w:rPr>
            </w:pPr>
            <w:r w:rsidRPr="00DD3611">
              <w:rPr>
                <w:rFonts w:cs="Arial"/>
                <w:color w:val="000000"/>
                <w:lang w:eastAsia="en-GB"/>
              </w:rPr>
              <w:t>Reduction in health inequalities</w:t>
            </w:r>
          </w:p>
          <w:p w:rsidR="002338C6" w:rsidRPr="00DD3611" w:rsidRDefault="002338C6" w:rsidP="000A59DE">
            <w:pPr>
              <w:keepNext/>
              <w:numPr>
                <w:ilvl w:val="0"/>
                <w:numId w:val="18"/>
              </w:numPr>
              <w:tabs>
                <w:tab w:val="clear" w:pos="900"/>
                <w:tab w:val="num" w:pos="337"/>
              </w:tabs>
              <w:spacing w:before="240" w:after="60" w:line="240" w:lineRule="auto"/>
              <w:ind w:left="337" w:hanging="343"/>
              <w:outlineLvl w:val="2"/>
              <w:rPr>
                <w:rFonts w:cs="Arial"/>
                <w:color w:val="000000"/>
                <w:lang w:eastAsia="en-GB"/>
              </w:rPr>
            </w:pPr>
            <w:r w:rsidRPr="00DD3611">
              <w:rPr>
                <w:rFonts w:cs="Arial"/>
                <w:color w:val="000000"/>
                <w:lang w:eastAsia="en-GB"/>
              </w:rPr>
              <w:t>Reduce delivery, neo-natal and early childhood cost to the NHS</w:t>
            </w:r>
          </w:p>
          <w:p w:rsidR="002338C6" w:rsidRPr="00DD3611" w:rsidRDefault="002338C6" w:rsidP="000A59DE">
            <w:pPr>
              <w:pStyle w:val="NoSpacing"/>
              <w:tabs>
                <w:tab w:val="num" w:pos="337"/>
              </w:tabs>
              <w:ind w:left="337" w:hanging="343"/>
              <w:rPr>
                <w:rFonts w:cs="Calibri"/>
                <w:b/>
                <w:color w:val="000000"/>
              </w:rPr>
            </w:pPr>
          </w:p>
          <w:p w:rsidR="002338C6" w:rsidRPr="00DD3611" w:rsidRDefault="002338C6" w:rsidP="000A59DE">
            <w:pPr>
              <w:pStyle w:val="NoSpacing"/>
              <w:tabs>
                <w:tab w:val="num" w:pos="337"/>
              </w:tabs>
              <w:ind w:left="337" w:hanging="343"/>
              <w:rPr>
                <w:rFonts w:cs="Calibri"/>
                <w:b/>
                <w:color w:val="000000"/>
              </w:rPr>
            </w:pPr>
          </w:p>
        </w:tc>
      </w:tr>
    </w:tbl>
    <w:p w:rsidR="002338C6" w:rsidRPr="0032757F" w:rsidRDefault="002338C6" w:rsidP="000A59DE">
      <w:pPr>
        <w:pStyle w:val="NoSpacing"/>
      </w:pPr>
    </w:p>
    <w:p w:rsidR="002338C6" w:rsidRPr="0032757F" w:rsidRDefault="002338C6" w:rsidP="000A59DE">
      <w:pPr>
        <w:pStyle w:val="NoSpacing"/>
        <w:rPr>
          <w:b/>
        </w:rPr>
      </w:pPr>
      <w:r w:rsidRPr="0032757F">
        <w:rPr>
          <w:b/>
        </w:rPr>
        <w:t>2.2 Impact in the year ahead</w:t>
      </w:r>
    </w:p>
    <w:p w:rsidR="002338C6" w:rsidRPr="0032757F" w:rsidRDefault="002338C6" w:rsidP="000A59DE">
      <w:pPr>
        <w:pStyle w:val="NoSpacing"/>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2338C6" w:rsidRPr="0032757F" w:rsidTr="00DD198E">
        <w:tc>
          <w:tcPr>
            <w:tcW w:w="4503" w:type="dxa"/>
          </w:tcPr>
          <w:p w:rsidR="002338C6" w:rsidRPr="0032757F" w:rsidRDefault="002338C6" w:rsidP="000A59DE">
            <w:pPr>
              <w:pStyle w:val="NoSpacing"/>
              <w:numPr>
                <w:ilvl w:val="0"/>
                <w:numId w:val="8"/>
              </w:numPr>
            </w:pPr>
            <w:r w:rsidRPr="0032757F">
              <w:t>What specific goals will the intervention achieve in the next year?</w:t>
            </w:r>
          </w:p>
        </w:tc>
        <w:tc>
          <w:tcPr>
            <w:tcW w:w="4739" w:type="dxa"/>
          </w:tcPr>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 xml:space="preserve">All pregnant women in </w:t>
            </w:r>
            <w:smartTag w:uri="urn:schemas-microsoft-com:office:smarttags" w:element="place">
              <w:r w:rsidRPr="0032757F">
                <w:rPr>
                  <w:rFonts w:cs="Arial"/>
                  <w:lang w:eastAsia="en-GB"/>
                </w:rPr>
                <w:t>Lancashire</w:t>
              </w:r>
            </w:smartTag>
            <w:r w:rsidRPr="0032757F">
              <w:rPr>
                <w:rFonts w:cs="Arial"/>
                <w:lang w:eastAsia="en-GB"/>
              </w:rPr>
              <w:t xml:space="preserve"> are screened for carbon monoxide</w:t>
            </w:r>
          </w:p>
          <w:p w:rsidR="002338C6"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Pregnant women who use tob</w:t>
            </w:r>
            <w:r>
              <w:rPr>
                <w:rFonts w:cs="Arial"/>
                <w:lang w:eastAsia="en-GB"/>
              </w:rPr>
              <w:t xml:space="preserve">acco are </w:t>
            </w:r>
            <w:r w:rsidRPr="0032757F">
              <w:rPr>
                <w:rFonts w:cs="Arial"/>
                <w:lang w:eastAsia="en-GB"/>
              </w:rPr>
              <w:t xml:space="preserve"> identified at time of booking</w:t>
            </w:r>
          </w:p>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Pr>
                <w:rFonts w:cs="Arial"/>
                <w:lang w:eastAsia="en-GB"/>
              </w:rPr>
              <w:t xml:space="preserve">All pregnant women receive a brief intervention and are made aware of the risks CO </w:t>
            </w:r>
          </w:p>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 xml:space="preserve">Automated referrals will be generated for women who are identified as smoking at time of booking. </w:t>
            </w:r>
          </w:p>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 xml:space="preserve">Women who are referred to local SSS will receive evidence-based, enhanced and appropriate treatment and support. </w:t>
            </w:r>
          </w:p>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 xml:space="preserve">Removal of any service weakness involving healthcare staff’s personal relationship with </w:t>
            </w:r>
            <w:r w:rsidRPr="0032757F">
              <w:rPr>
                <w:rFonts w:cs="Arial"/>
                <w:lang w:eastAsia="en-GB"/>
              </w:rPr>
              <w:lastRenderedPageBreak/>
              <w:t xml:space="preserve">tobacco which may be hindering identification, effective intervention or referral </w:t>
            </w:r>
          </w:p>
          <w:p w:rsidR="002338C6" w:rsidRPr="0032757F" w:rsidRDefault="002338C6" w:rsidP="000A59DE">
            <w:pPr>
              <w:keepNext/>
              <w:numPr>
                <w:ilvl w:val="0"/>
                <w:numId w:val="23"/>
              </w:numPr>
              <w:tabs>
                <w:tab w:val="clear" w:pos="720"/>
                <w:tab w:val="num" w:pos="447"/>
              </w:tabs>
              <w:spacing w:before="240" w:after="60" w:line="240" w:lineRule="auto"/>
              <w:ind w:left="447" w:hanging="440"/>
              <w:outlineLvl w:val="2"/>
              <w:rPr>
                <w:rFonts w:cs="Arial"/>
                <w:lang w:eastAsia="en-GB"/>
              </w:rPr>
            </w:pPr>
            <w:r w:rsidRPr="0032757F">
              <w:rPr>
                <w:rFonts w:cs="Arial"/>
                <w:lang w:eastAsia="en-GB"/>
              </w:rPr>
              <w:t xml:space="preserve">A positive consent opt out model for pregnant women who smoke, ensuring that women who do opt out will be fully aware of the risks they are taking if they continue to smoke. </w:t>
            </w:r>
          </w:p>
        </w:tc>
      </w:tr>
      <w:tr w:rsidR="002338C6" w:rsidRPr="0032757F" w:rsidTr="00DD198E">
        <w:tc>
          <w:tcPr>
            <w:tcW w:w="4503" w:type="dxa"/>
          </w:tcPr>
          <w:p w:rsidR="002338C6" w:rsidRPr="0032757F" w:rsidRDefault="002338C6" w:rsidP="000A59DE">
            <w:pPr>
              <w:pStyle w:val="NoSpacing"/>
              <w:numPr>
                <w:ilvl w:val="0"/>
                <w:numId w:val="8"/>
              </w:numPr>
            </w:pPr>
            <w:r w:rsidRPr="0032757F">
              <w:lastRenderedPageBreak/>
              <w:t>What are the specific measures of success for the year ahead?</w:t>
            </w: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pPr>
          </w:p>
          <w:p w:rsidR="002338C6" w:rsidRPr="0032757F" w:rsidRDefault="002338C6" w:rsidP="000A59DE">
            <w:pPr>
              <w:pStyle w:val="NoSpacing"/>
              <w:numPr>
                <w:ilvl w:val="0"/>
                <w:numId w:val="8"/>
              </w:numPr>
            </w:pPr>
            <w:r w:rsidRPr="0032757F">
              <w:t>How will the Health and Wellbeing Board know that the intervention has achieved its goals?</w:t>
            </w:r>
          </w:p>
        </w:tc>
        <w:tc>
          <w:tcPr>
            <w:tcW w:w="4739" w:type="dxa"/>
          </w:tcPr>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All maternity staff trained and using CO monitors at booking appointment</w:t>
            </w:r>
          </w:p>
          <w:p w:rsidR="002338C6"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All maternity PAS systems are able to generate automated referrals to the LSSS</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Pr>
                <w:rFonts w:cs="Arial"/>
                <w:lang w:eastAsia="en-GB"/>
              </w:rPr>
              <w:t>All pregnant women receive a brief intervention about tobacco use during pregnancy</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All women are screened for CO at booking</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Increase in referrals</w:t>
            </w:r>
            <w:r>
              <w:rPr>
                <w:rFonts w:cs="Arial"/>
                <w:lang w:eastAsia="en-GB"/>
              </w:rPr>
              <w:t xml:space="preserve"> to local </w:t>
            </w:r>
            <w:r w:rsidRPr="0032757F">
              <w:rPr>
                <w:rFonts w:cs="Arial"/>
                <w:lang w:eastAsia="en-GB"/>
              </w:rPr>
              <w:t>SSS of pregnant women</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 xml:space="preserve">Improved performance towards the SATOD average for </w:t>
            </w:r>
            <w:smartTag w:uri="urn:schemas-microsoft-com:office:smarttags" w:element="place">
              <w:r w:rsidRPr="0032757F">
                <w:rPr>
                  <w:rFonts w:cs="Arial"/>
                  <w:lang w:eastAsia="en-GB"/>
                </w:rPr>
                <w:t>Lancashire</w:t>
              </w:r>
            </w:smartTag>
            <w:r w:rsidRPr="0032757F">
              <w:rPr>
                <w:rFonts w:cs="Arial"/>
                <w:lang w:eastAsia="en-GB"/>
              </w:rPr>
              <w:t xml:space="preserve"> or lower</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Reducing the number of babies born early</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Reduction in the number of low birth weight babies</w:t>
            </w:r>
          </w:p>
          <w:p w:rsidR="002338C6" w:rsidRPr="0032757F" w:rsidRDefault="002338C6" w:rsidP="000A59DE">
            <w:pPr>
              <w:keepNext/>
              <w:numPr>
                <w:ilvl w:val="0"/>
                <w:numId w:val="23"/>
              </w:numPr>
              <w:tabs>
                <w:tab w:val="clear" w:pos="720"/>
                <w:tab w:val="num" w:pos="447"/>
              </w:tabs>
              <w:spacing w:before="240" w:after="0" w:line="240" w:lineRule="auto"/>
              <w:ind w:left="447" w:hanging="440"/>
              <w:outlineLvl w:val="2"/>
              <w:rPr>
                <w:rFonts w:cs="Arial"/>
                <w:lang w:eastAsia="en-GB"/>
              </w:rPr>
            </w:pPr>
            <w:r w:rsidRPr="0032757F">
              <w:rPr>
                <w:rFonts w:cs="Arial"/>
                <w:lang w:eastAsia="en-GB"/>
              </w:rPr>
              <w:t>Reduction in the  number of babies requiring specialist NNU care</w:t>
            </w:r>
          </w:p>
          <w:p w:rsidR="002338C6" w:rsidRPr="0032757F" w:rsidRDefault="002338C6" w:rsidP="000A59DE">
            <w:pPr>
              <w:pStyle w:val="NoSpacing"/>
              <w:tabs>
                <w:tab w:val="num" w:pos="447"/>
              </w:tabs>
              <w:ind w:left="447" w:hanging="440"/>
              <w:rPr>
                <w:rFonts w:cs="Calibri"/>
                <w:b/>
                <w:color w:val="548DD4"/>
              </w:rPr>
            </w:pPr>
          </w:p>
        </w:tc>
      </w:tr>
    </w:tbl>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D82B49">
      <w:pPr>
        <w:pStyle w:val="NoSpacing"/>
        <w:numPr>
          <w:ilvl w:val="0"/>
          <w:numId w:val="13"/>
        </w:numPr>
        <w:rPr>
          <w:b/>
          <w:color w:val="404040"/>
        </w:rPr>
      </w:pPr>
      <w:r w:rsidRPr="0032757F">
        <w:rPr>
          <w:b/>
          <w:color w:val="404040"/>
        </w:rPr>
        <w:t>Response</w:t>
      </w:r>
    </w:p>
    <w:p w:rsidR="002338C6" w:rsidRPr="0032757F" w:rsidRDefault="002338C6" w:rsidP="00354264">
      <w:pPr>
        <w:pStyle w:val="NoSpacing"/>
        <w:rPr>
          <w:i/>
        </w:rPr>
      </w:pPr>
      <w:r w:rsidRPr="0032757F">
        <w:rPr>
          <w:i/>
          <w:lang w:eastAsia="en-GB"/>
        </w:rPr>
        <w:t>What needs to happen to ensure partners achieve better results?</w:t>
      </w:r>
    </w:p>
    <w:p w:rsidR="002338C6" w:rsidRPr="0032757F" w:rsidRDefault="002338C6" w:rsidP="003A63C6">
      <w:pPr>
        <w:pStyle w:val="NoSpacing"/>
        <w:rPr>
          <w:b/>
        </w:rPr>
      </w:pPr>
    </w:p>
    <w:p w:rsidR="002338C6" w:rsidRPr="0032757F" w:rsidRDefault="002338C6" w:rsidP="003A63C6">
      <w:pPr>
        <w:pStyle w:val="NoSpacing"/>
        <w:rPr>
          <w:b/>
        </w:rPr>
      </w:pPr>
    </w:p>
    <w:p w:rsidR="002338C6" w:rsidRPr="0032757F" w:rsidRDefault="002338C6" w:rsidP="00D82B49">
      <w:pPr>
        <w:pStyle w:val="NoSpacing"/>
        <w:numPr>
          <w:ilvl w:val="1"/>
          <w:numId w:val="13"/>
        </w:numPr>
        <w:rPr>
          <w:b/>
        </w:rPr>
      </w:pPr>
      <w:r w:rsidRPr="0032757F">
        <w:rPr>
          <w:b/>
        </w:rPr>
        <w:t>Shifts in the way that partners deliver services</w:t>
      </w:r>
    </w:p>
    <w:p w:rsidR="002338C6" w:rsidRPr="0032757F" w:rsidRDefault="002338C6" w:rsidP="00D82B49">
      <w:pPr>
        <w:pStyle w:val="NoSpacing"/>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2338C6" w:rsidRPr="0032757F" w:rsidTr="00DD198E">
        <w:tc>
          <w:tcPr>
            <w:tcW w:w="4503" w:type="dxa"/>
          </w:tcPr>
          <w:p w:rsidR="002338C6" w:rsidRPr="0032757F" w:rsidRDefault="002338C6" w:rsidP="003A63C6">
            <w:pPr>
              <w:pStyle w:val="NoSpacing"/>
              <w:numPr>
                <w:ilvl w:val="0"/>
                <w:numId w:val="15"/>
              </w:numPr>
              <w:rPr>
                <w:lang w:eastAsia="en-GB"/>
              </w:rPr>
            </w:pPr>
            <w:r w:rsidRPr="0032757F">
              <w:rPr>
                <w:lang w:eastAsia="en-GB"/>
              </w:rPr>
              <w:t>How must partners work to ensure that the ‘priority shifts’</w:t>
            </w:r>
            <w:r w:rsidRPr="0032757F">
              <w:t xml:space="preserve"> </w:t>
            </w:r>
            <w:r w:rsidRPr="0032757F">
              <w:rPr>
                <w:lang w:eastAsia="en-GB"/>
              </w:rPr>
              <w:t>are applied and the intervention is effectively implemented?</w:t>
            </w:r>
          </w:p>
        </w:tc>
        <w:tc>
          <w:tcPr>
            <w:tcW w:w="4739" w:type="dxa"/>
          </w:tcPr>
          <w:p w:rsidR="002338C6" w:rsidRPr="0032757F" w:rsidRDefault="002338C6" w:rsidP="00791284">
            <w:pPr>
              <w:pStyle w:val="ListParagraph"/>
              <w:numPr>
                <w:ilvl w:val="0"/>
                <w:numId w:val="15"/>
              </w:numPr>
              <w:rPr>
                <w:rFonts w:ascii="Calibri" w:hAnsi="Calibri" w:cs="Arial"/>
                <w:bCs/>
                <w:kern w:val="32"/>
                <w:sz w:val="22"/>
                <w:szCs w:val="22"/>
                <w:lang w:eastAsia="en-GB"/>
              </w:rPr>
            </w:pPr>
            <w:r w:rsidRPr="0032757F">
              <w:rPr>
                <w:rFonts w:ascii="Calibri" w:hAnsi="Calibri" w:cs="Arial"/>
                <w:bCs/>
                <w:kern w:val="32"/>
                <w:sz w:val="22"/>
                <w:szCs w:val="22"/>
                <w:lang w:eastAsia="en-GB"/>
              </w:rPr>
              <w:t>Adopt a performance management team within each area to oversee implementation, the group will be time served and is committed to meeting regularly</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 xml:space="preserve">Scoping of the current maternity information </w:t>
            </w:r>
            <w:r w:rsidRPr="0032757F">
              <w:rPr>
                <w:rFonts w:ascii="Calibri" w:hAnsi="Calibri" w:cs="Arial"/>
                <w:sz w:val="22"/>
                <w:szCs w:val="22"/>
                <w:lang w:val="en-GB"/>
              </w:rPr>
              <w:lastRenderedPageBreak/>
              <w:t>and smoking cessation electronic systems</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Adaptations made to electronic systems making them fit to deliver the new pathway</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Deliver a CO screening training module for midwives and/or healthcare staff who book pregnant women</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 xml:space="preserve">Identifying local champions/leads for local implementation </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Design and implement on-going monitoring and evaluation providing opportunities to amend the pathway or system to meet the local need and make fit for purpose</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Increase resources within LSSS to meet the needs of pregnant women who use tobacco</w:t>
            </w:r>
          </w:p>
          <w:p w:rsidR="002338C6" w:rsidRPr="00423C92" w:rsidRDefault="002338C6" w:rsidP="00791284">
            <w:pPr>
              <w:pStyle w:val="ListParagraph"/>
              <w:numPr>
                <w:ilvl w:val="0"/>
                <w:numId w:val="15"/>
              </w:numPr>
              <w:rPr>
                <w:rFonts w:ascii="Calibri" w:hAnsi="Calibri" w:cs="Arial"/>
                <w:b/>
                <w:bCs/>
                <w:kern w:val="32"/>
                <w:sz w:val="22"/>
                <w:szCs w:val="22"/>
                <w:lang w:eastAsia="en-GB"/>
              </w:rPr>
            </w:pPr>
            <w:r w:rsidRPr="0032757F">
              <w:rPr>
                <w:rFonts w:ascii="Calibri" w:hAnsi="Calibri" w:cs="Arial"/>
                <w:sz w:val="22"/>
                <w:szCs w:val="22"/>
                <w:lang w:val="en-GB"/>
              </w:rPr>
              <w:t>Establish and agree a performance monitoring process which monitors activity and applies scrutiny to relevant data</w:t>
            </w:r>
          </w:p>
          <w:p w:rsidR="002338C6" w:rsidRPr="0032757F" w:rsidRDefault="002338C6" w:rsidP="00791284">
            <w:pPr>
              <w:pStyle w:val="ListParagraph"/>
              <w:numPr>
                <w:ilvl w:val="0"/>
                <w:numId w:val="15"/>
              </w:numPr>
              <w:rPr>
                <w:rFonts w:ascii="Calibri" w:hAnsi="Calibri" w:cs="Arial"/>
                <w:b/>
                <w:bCs/>
                <w:kern w:val="32"/>
                <w:sz w:val="22"/>
                <w:szCs w:val="22"/>
                <w:lang w:eastAsia="en-GB"/>
              </w:rPr>
            </w:pPr>
            <w:r>
              <w:rPr>
                <w:rFonts w:ascii="Calibri" w:hAnsi="Calibri" w:cs="Arial"/>
                <w:sz w:val="22"/>
                <w:szCs w:val="22"/>
                <w:lang w:val="en-GB"/>
              </w:rPr>
              <w:t>Integrate the regional incentive scheme into mainstream working practice and continue to use as a tool for scrutinising the quality of local data</w:t>
            </w:r>
          </w:p>
          <w:p w:rsidR="002338C6" w:rsidRPr="0032757F" w:rsidRDefault="002338C6" w:rsidP="00DD198E">
            <w:pPr>
              <w:pStyle w:val="NoSpacing"/>
              <w:rPr>
                <w:rFonts w:cs="Calibri"/>
                <w:b/>
                <w:color w:val="548DD4"/>
              </w:rPr>
            </w:pPr>
          </w:p>
        </w:tc>
      </w:tr>
    </w:tbl>
    <w:p w:rsidR="002338C6" w:rsidRPr="0032757F" w:rsidRDefault="002338C6" w:rsidP="00D82B49">
      <w:pPr>
        <w:pStyle w:val="NoSpacing"/>
      </w:pPr>
    </w:p>
    <w:p w:rsidR="002338C6" w:rsidRPr="0032757F" w:rsidRDefault="002338C6" w:rsidP="00D82B49">
      <w:pPr>
        <w:pStyle w:val="NoSpacing"/>
      </w:pPr>
    </w:p>
    <w:p w:rsidR="002338C6" w:rsidRPr="0032757F" w:rsidRDefault="002338C6" w:rsidP="00D82B49">
      <w:pPr>
        <w:pStyle w:val="NoSpacing"/>
        <w:numPr>
          <w:ilvl w:val="1"/>
          <w:numId w:val="13"/>
        </w:numPr>
        <w:rPr>
          <w:b/>
        </w:rPr>
      </w:pPr>
      <w:r w:rsidRPr="0032757F">
        <w:rPr>
          <w:b/>
        </w:rPr>
        <w:t>Programme of work</w:t>
      </w:r>
    </w:p>
    <w:p w:rsidR="002338C6" w:rsidRPr="0032757F" w:rsidRDefault="002338C6" w:rsidP="00354264">
      <w:pPr>
        <w:pStyle w:val="NoSpacing"/>
      </w:pPr>
    </w:p>
    <w:tbl>
      <w:tblPr>
        <w:tblW w:w="0" w:type="auto"/>
        <w:tblBorders>
          <w:top w:val="single" w:sz="4" w:space="0" w:color="BFBFBF"/>
          <w:bottom w:val="single" w:sz="4" w:space="0" w:color="BFBFBF"/>
          <w:insideH w:val="single" w:sz="4" w:space="0" w:color="BFBFBF"/>
        </w:tblBorders>
        <w:tblLook w:val="00A0"/>
      </w:tblPr>
      <w:tblGrid>
        <w:gridCol w:w="3298"/>
        <w:gridCol w:w="5944"/>
      </w:tblGrid>
      <w:tr w:rsidR="002338C6" w:rsidRPr="0032757F" w:rsidTr="00DD198E">
        <w:tc>
          <w:tcPr>
            <w:tcW w:w="4503" w:type="dxa"/>
          </w:tcPr>
          <w:p w:rsidR="002338C6" w:rsidRPr="0032757F" w:rsidRDefault="002338C6" w:rsidP="003A63C6">
            <w:pPr>
              <w:pStyle w:val="NoSpacing"/>
              <w:numPr>
                <w:ilvl w:val="0"/>
                <w:numId w:val="9"/>
              </w:numPr>
            </w:pPr>
            <w:r w:rsidRPr="0032757F">
              <w:rPr>
                <w:lang w:eastAsia="en-GB"/>
              </w:rPr>
              <w:t>Who needs to be involved to develop</w:t>
            </w:r>
            <w:r>
              <w:rPr>
                <w:lang w:eastAsia="en-GB"/>
              </w:rPr>
              <w:t>,</w:t>
            </w:r>
            <w:r w:rsidRPr="0032757F">
              <w:rPr>
                <w:lang w:eastAsia="en-GB"/>
              </w:rPr>
              <w:t xml:space="preserve"> commission and deliver the intervention?</w:t>
            </w:r>
            <w:r w:rsidRPr="0032757F">
              <w:t xml:space="preserve"> </w:t>
            </w:r>
          </w:p>
        </w:tc>
        <w:tc>
          <w:tcPr>
            <w:tcW w:w="4739" w:type="dxa"/>
          </w:tcPr>
          <w:tbl>
            <w:tblPr>
              <w:tblpPr w:leftFromText="180" w:rightFromText="180" w:vertAnchor="text" w:horzAnchor="margin"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3"/>
              <w:gridCol w:w="2805"/>
            </w:tblGrid>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426BA9" w:rsidRDefault="002338C6" w:rsidP="00D528E9">
                  <w:pPr>
                    <w:rPr>
                      <w:rFonts w:cs="Arial"/>
                      <w:lang w:eastAsia="en-GB"/>
                    </w:rPr>
                  </w:pP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Role</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426BA9">
                    <w:rPr>
                      <w:rFonts w:cs="Arial"/>
                      <w:lang w:eastAsia="en-GB"/>
                    </w:rPr>
                    <w:t xml:space="preserve">Lead, Local Women and Children’s Units NHS Acute/Foundation Trust maternity units </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 xml:space="preserve">Ensure that SATOD improvement and NNU improvement </w:t>
                  </w:r>
                  <w:r>
                    <w:t>is on the Trusts</w:t>
                  </w:r>
                  <w:r w:rsidRPr="0032757F">
                    <w:t xml:space="preserve"> agenda. Attends performance management meetings.  </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426BA9">
                  <w:pPr>
                    <w:keepNext/>
                  </w:pPr>
                  <w:r w:rsidRPr="0032757F">
                    <w:t>Manager, Community midwifery service, Local NHS Acute/Foundation Trust</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Ensure that all community</w:t>
                  </w:r>
                  <w:r>
                    <w:t xml:space="preserve"> staff are trained and smoke free</w:t>
                  </w:r>
                  <w:r w:rsidRPr="0032757F">
                    <w:t xml:space="preserve"> policies are applied and enforced. Ensure that SATOD data collection is correct and support is given to informatics and Public Health Lead to </w:t>
                  </w:r>
                  <w:r>
                    <w:t>scrutinis</w:t>
                  </w:r>
                  <w:r w:rsidRPr="0032757F">
                    <w:t xml:space="preserve">e the data. Attends performance management meetings.  </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 xml:space="preserve">Midwifery Manager, Local </w:t>
                  </w:r>
                  <w:r w:rsidRPr="0032757F">
                    <w:lastRenderedPageBreak/>
                    <w:t>NHS Acute/Foundation Trust</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lastRenderedPageBreak/>
                    <w:t xml:space="preserve">All staff </w:t>
                  </w:r>
                  <w:r w:rsidRPr="0032757F">
                    <w:t>work</w:t>
                  </w:r>
                  <w:r>
                    <w:t>ing</w:t>
                  </w:r>
                  <w:r w:rsidRPr="0032757F">
                    <w:t xml:space="preserve"> within the </w:t>
                  </w:r>
                  <w:r w:rsidRPr="0032757F">
                    <w:lastRenderedPageBreak/>
                    <w:t xml:space="preserve">hospital </w:t>
                  </w:r>
                  <w:r>
                    <w:t>are</w:t>
                  </w:r>
                  <w:r w:rsidRPr="0032757F">
                    <w:t xml:space="preserve"> compliant with </w:t>
                  </w:r>
                  <w:r>
                    <w:t xml:space="preserve">their </w:t>
                  </w:r>
                  <w:r w:rsidRPr="0032757F">
                    <w:t xml:space="preserve">smoke free policy. Attends performance management meetings.  </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lastRenderedPageBreak/>
                    <w:t>Public Health Project Lead</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Keeps the implementation of the scheme on track, facilitates meetings and co-ordinates actions. Provides training.  Attends performance management meetings.</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426BA9">
                    <w:rPr>
                      <w:rFonts w:cs="Arial"/>
                      <w:lang w:eastAsia="en-GB"/>
                    </w:rPr>
                    <w:t>Manager, Local NHS Stop Smoking Services</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Ensures that referrals are accepted and correct, shares anonymous data and accepts feedback about service.  Attends performance management meetings.</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Public Health Facilitator, Health Promoting Hospital, Local NHS Acute/Foundation Trust or LA</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Ensure that all service development is in line with the hospital smoke free policy; any publications are developed within the PH strategy and are in the corporate theme of the hospital.  Attends performance management meetings.</w:t>
                  </w:r>
                </w:p>
              </w:tc>
            </w:tr>
            <w:tr w:rsidR="002338C6" w:rsidRPr="0032757F" w:rsidTr="00426BA9">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Local NHS Acute/Foundation Trust information analyst</w:t>
                  </w:r>
                </w:p>
              </w:tc>
              <w:tc>
                <w:tcPr>
                  <w:tcW w:w="4261" w:type="dxa"/>
                  <w:tcBorders>
                    <w:top w:val="single" w:sz="4" w:space="0" w:color="000000"/>
                    <w:left w:val="single" w:sz="4" w:space="0" w:color="000000"/>
                    <w:bottom w:val="single" w:sz="4" w:space="0" w:color="000000"/>
                    <w:right w:val="single" w:sz="4" w:space="0" w:color="000000"/>
                  </w:tcBorders>
                </w:tcPr>
                <w:p w:rsidR="002338C6" w:rsidRPr="0032757F" w:rsidRDefault="002338C6" w:rsidP="00D528E9">
                  <w:r w:rsidRPr="0032757F">
                    <w:t xml:space="preserve">Provides up to date data, informs of any issues which can affect the quality of the data. Attends performance management meetings. </w:t>
                  </w:r>
                </w:p>
              </w:tc>
            </w:tr>
          </w:tbl>
          <w:p w:rsidR="002338C6" w:rsidRPr="0032757F" w:rsidRDefault="002338C6" w:rsidP="00DD198E">
            <w:pPr>
              <w:pStyle w:val="NoSpacing"/>
              <w:rPr>
                <w:rFonts w:cs="Calibri"/>
                <w:b/>
                <w:color w:val="548DD4"/>
              </w:rPr>
            </w:pPr>
          </w:p>
        </w:tc>
      </w:tr>
      <w:tr w:rsidR="002338C6" w:rsidRPr="0032757F" w:rsidTr="00DD198E">
        <w:tc>
          <w:tcPr>
            <w:tcW w:w="4503" w:type="dxa"/>
          </w:tcPr>
          <w:p w:rsidR="002338C6" w:rsidRPr="0032757F" w:rsidRDefault="002338C6" w:rsidP="002B56BF">
            <w:pPr>
              <w:pStyle w:val="NoSpacing"/>
              <w:numPr>
                <w:ilvl w:val="0"/>
                <w:numId w:val="14"/>
              </w:numPr>
              <w:rPr>
                <w:lang w:eastAsia="en-GB"/>
              </w:rPr>
            </w:pPr>
            <w:r w:rsidRPr="0032757F">
              <w:rPr>
                <w:lang w:eastAsia="en-GB"/>
              </w:rPr>
              <w:lastRenderedPageBreak/>
              <w:t xml:space="preserve">What are the ‘milestones’ for the Task Group in the year ahead? </w:t>
            </w:r>
          </w:p>
        </w:tc>
        <w:tc>
          <w:tcPr>
            <w:tcW w:w="4739" w:type="dxa"/>
          </w:tcPr>
          <w:tbl>
            <w:tblPr>
              <w:tblW w:w="56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610"/>
            </w:tblGrid>
            <w:tr w:rsidR="002338C6" w:rsidRPr="0032757F" w:rsidTr="00A91D45">
              <w:trPr>
                <w:trHeight w:val="282"/>
              </w:trPr>
              <w:tc>
                <w:tcPr>
                  <w:tcW w:w="5610" w:type="dxa"/>
                  <w:tcBorders>
                    <w:top w:val="single" w:sz="4" w:space="0" w:color="auto"/>
                    <w:left w:val="single" w:sz="4" w:space="0" w:color="auto"/>
                    <w:bottom w:val="single" w:sz="6" w:space="0" w:color="auto"/>
                    <w:right w:val="single" w:sz="4" w:space="0" w:color="auto"/>
                  </w:tcBorders>
                  <w:shd w:val="clear" w:color="auto" w:fill="C0C0C0"/>
                </w:tcPr>
                <w:p w:rsidR="002338C6" w:rsidRPr="0032757F" w:rsidRDefault="002338C6" w:rsidP="00091338">
                  <w:pPr>
                    <w:autoSpaceDE w:val="0"/>
                    <w:autoSpaceDN w:val="0"/>
                    <w:adjustRightInd w:val="0"/>
                    <w:ind w:left="720"/>
                    <w:rPr>
                      <w:rFonts w:cs="Arial"/>
                      <w:b/>
                      <w:bCs/>
                      <w:color w:val="000000"/>
                      <w:lang w:eastAsia="en-GB"/>
                    </w:rPr>
                  </w:pPr>
                  <w:r w:rsidRPr="0032757F">
                    <w:rPr>
                      <w:rFonts w:cs="Arial"/>
                      <w:b/>
                      <w:bCs/>
                      <w:color w:val="000000"/>
                      <w:lang w:eastAsia="en-GB"/>
                    </w:rPr>
                    <w:t>Description</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 xml:space="preserve">Establish a project group </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Scoping data collection systems</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ED197D">
                  <w:pPr>
                    <w:pStyle w:val="ListParagraph"/>
                    <w:spacing w:after="200" w:line="276" w:lineRule="auto"/>
                    <w:ind w:left="0"/>
                    <w:rPr>
                      <w:rFonts w:ascii="Calibri" w:hAnsi="Calibri" w:cs="Arial"/>
                      <w:sz w:val="22"/>
                      <w:szCs w:val="22"/>
                    </w:rPr>
                  </w:pPr>
                  <w:r w:rsidRPr="0032757F">
                    <w:rPr>
                      <w:rFonts w:ascii="Calibri" w:hAnsi="Calibri" w:cs="Arial"/>
                      <w:color w:val="000000"/>
                      <w:sz w:val="22"/>
                      <w:szCs w:val="22"/>
                      <w:lang w:eastAsia="en-GB"/>
                    </w:rPr>
                    <w:t>Establish a SATOD improvement plan based on 5 objectives:</w:t>
                  </w:r>
                </w:p>
                <w:p w:rsidR="002338C6" w:rsidRPr="0032757F" w:rsidRDefault="002338C6" w:rsidP="00ED197D">
                  <w:pPr>
                    <w:pStyle w:val="ListParagraph"/>
                    <w:numPr>
                      <w:ilvl w:val="0"/>
                      <w:numId w:val="22"/>
                    </w:numPr>
                    <w:spacing w:after="200" w:line="276" w:lineRule="auto"/>
                    <w:rPr>
                      <w:rFonts w:ascii="Calibri" w:hAnsi="Calibri" w:cs="Arial"/>
                      <w:sz w:val="22"/>
                      <w:szCs w:val="22"/>
                    </w:rPr>
                  </w:pPr>
                  <w:r w:rsidRPr="0032757F">
                    <w:rPr>
                      <w:rFonts w:ascii="Calibri" w:hAnsi="Calibri" w:cs="Arial"/>
                      <w:sz w:val="22"/>
                      <w:szCs w:val="22"/>
                    </w:rPr>
                    <w:lastRenderedPageBreak/>
                    <w:t xml:space="preserve">Increase access to information on the risks of smoking during pregnancy: </w:t>
                  </w:r>
                </w:p>
                <w:p w:rsidR="002338C6" w:rsidRPr="0032757F" w:rsidRDefault="002338C6" w:rsidP="00ED197D">
                  <w:pPr>
                    <w:pStyle w:val="ListParagraph"/>
                    <w:numPr>
                      <w:ilvl w:val="0"/>
                      <w:numId w:val="22"/>
                    </w:numPr>
                    <w:spacing w:after="200" w:line="276" w:lineRule="auto"/>
                    <w:rPr>
                      <w:rFonts w:ascii="Calibri" w:hAnsi="Calibri" w:cs="Arial"/>
                      <w:sz w:val="22"/>
                      <w:szCs w:val="22"/>
                    </w:rPr>
                  </w:pPr>
                  <w:r w:rsidRPr="0032757F">
                    <w:rPr>
                      <w:rFonts w:ascii="Calibri" w:hAnsi="Calibri" w:cs="Arial"/>
                      <w:sz w:val="22"/>
                      <w:szCs w:val="22"/>
                    </w:rPr>
                    <w:t>Identify and refer all women who are smoking at the time of the booking appointment:</w:t>
                  </w:r>
                </w:p>
                <w:p w:rsidR="002338C6" w:rsidRPr="0032757F" w:rsidRDefault="002338C6" w:rsidP="00ED197D">
                  <w:pPr>
                    <w:pStyle w:val="ListParagraph"/>
                    <w:numPr>
                      <w:ilvl w:val="0"/>
                      <w:numId w:val="22"/>
                    </w:numPr>
                    <w:spacing w:after="200" w:line="276" w:lineRule="auto"/>
                    <w:rPr>
                      <w:rFonts w:ascii="Calibri" w:hAnsi="Calibri" w:cs="Arial"/>
                      <w:sz w:val="22"/>
                      <w:szCs w:val="22"/>
                    </w:rPr>
                  </w:pPr>
                  <w:r w:rsidRPr="0032757F">
                    <w:rPr>
                      <w:rFonts w:ascii="Calibri" w:hAnsi="Calibri" w:cs="Arial"/>
                      <w:sz w:val="22"/>
                      <w:szCs w:val="22"/>
                    </w:rPr>
                    <w:t>Increase compliance of smoke free hospital:</w:t>
                  </w:r>
                </w:p>
                <w:p w:rsidR="002338C6" w:rsidRPr="0032757F" w:rsidRDefault="002338C6" w:rsidP="00ED197D">
                  <w:pPr>
                    <w:pStyle w:val="ListParagraph"/>
                    <w:numPr>
                      <w:ilvl w:val="0"/>
                      <w:numId w:val="22"/>
                    </w:numPr>
                    <w:spacing w:after="200" w:line="276" w:lineRule="auto"/>
                    <w:rPr>
                      <w:rFonts w:ascii="Calibri" w:hAnsi="Calibri" w:cs="Arial"/>
                      <w:sz w:val="22"/>
                      <w:szCs w:val="22"/>
                    </w:rPr>
                  </w:pPr>
                  <w:r w:rsidRPr="0032757F">
                    <w:rPr>
                      <w:rFonts w:ascii="Calibri" w:hAnsi="Calibri" w:cs="Arial"/>
                      <w:sz w:val="22"/>
                      <w:szCs w:val="22"/>
                    </w:rPr>
                    <w:t>Increase to reliability of SATOD</w:t>
                  </w:r>
                </w:p>
                <w:p w:rsidR="002338C6" w:rsidRPr="0032757F" w:rsidRDefault="002338C6" w:rsidP="00ED197D">
                  <w:pPr>
                    <w:pStyle w:val="ListParagraph"/>
                    <w:numPr>
                      <w:ilvl w:val="0"/>
                      <w:numId w:val="22"/>
                    </w:numPr>
                    <w:spacing w:after="200" w:line="276" w:lineRule="auto"/>
                    <w:rPr>
                      <w:rFonts w:ascii="Calibri" w:hAnsi="Calibri" w:cs="Arial"/>
                      <w:sz w:val="22"/>
                      <w:szCs w:val="22"/>
                    </w:rPr>
                  </w:pPr>
                  <w:r w:rsidRPr="0032757F">
                    <w:rPr>
                      <w:rFonts w:ascii="Calibri" w:hAnsi="Calibri" w:cs="Arial"/>
                      <w:bCs/>
                      <w:sz w:val="22"/>
                      <w:szCs w:val="22"/>
                    </w:rPr>
                    <w:t>Increase access to pharmacological support</w:t>
                  </w:r>
                  <w:r w:rsidRPr="0032757F">
                    <w:rPr>
                      <w:rFonts w:ascii="Calibri" w:hAnsi="Calibri" w:cs="Arial"/>
                      <w:sz w:val="22"/>
                      <w:szCs w:val="22"/>
                    </w:rPr>
                    <w:t xml:space="preserve"> :</w:t>
                  </w:r>
                </w:p>
                <w:p w:rsidR="002338C6" w:rsidRPr="0032757F" w:rsidRDefault="002338C6" w:rsidP="00AF55BD">
                  <w:pPr>
                    <w:autoSpaceDE w:val="0"/>
                    <w:autoSpaceDN w:val="0"/>
                    <w:adjustRightInd w:val="0"/>
                    <w:ind w:left="720" w:hanging="720"/>
                    <w:rPr>
                      <w:rFonts w:cs="Arial"/>
                      <w:color w:val="000000"/>
                      <w:lang w:eastAsia="en-GB"/>
                    </w:rPr>
                  </w:pPr>
                  <w:r>
                    <w:rPr>
                      <w:rFonts w:cs="Arial"/>
                      <w:color w:val="000000"/>
                      <w:lang w:eastAsia="en-GB"/>
                    </w:rPr>
                    <w:t>To be signed off by CE or equivalent</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lastRenderedPageBreak/>
                    <w:t>Agree and deve</w:t>
                  </w:r>
                  <w:r>
                    <w:rPr>
                      <w:rFonts w:cs="Arial"/>
                      <w:color w:val="000000"/>
                      <w:lang w:eastAsia="en-GB"/>
                    </w:rPr>
                    <w:t>lop any</w:t>
                  </w:r>
                  <w:r w:rsidRPr="0032757F">
                    <w:rPr>
                      <w:rFonts w:cs="Arial"/>
                      <w:color w:val="000000"/>
                      <w:lang w:eastAsia="en-GB"/>
                    </w:rPr>
                    <w:t xml:space="preserve"> relevant contract variations</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 xml:space="preserve">Agree </w:t>
                  </w:r>
                  <w:r>
                    <w:rPr>
                      <w:rFonts w:cs="Arial"/>
                      <w:color w:val="000000"/>
                      <w:lang w:eastAsia="en-GB"/>
                    </w:rPr>
                    <w:t xml:space="preserve">standard </w:t>
                  </w:r>
                  <w:r w:rsidRPr="0032757F">
                    <w:rPr>
                      <w:rFonts w:cs="Arial"/>
                      <w:color w:val="000000"/>
                      <w:lang w:eastAsia="en-GB"/>
                    </w:rPr>
                    <w:t>pat</w:t>
                  </w:r>
                  <w:r>
                    <w:rPr>
                      <w:rFonts w:cs="Arial"/>
                      <w:color w:val="000000"/>
                      <w:lang w:eastAsia="en-GB"/>
                    </w:rPr>
                    <w:t xml:space="preserve">hway </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Establish the specification for IT change request for automated referrals</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Agree training and implementation  programme calendar</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Agree start date</w:t>
                  </w:r>
                  <w:r>
                    <w:rPr>
                      <w:rFonts w:cs="Arial"/>
                      <w:color w:val="000000"/>
                      <w:lang w:eastAsia="en-GB"/>
                    </w:rPr>
                    <w:t xml:space="preserve"> and train all staff</w:t>
                  </w:r>
                </w:p>
              </w:tc>
            </w:tr>
            <w:tr w:rsidR="002338C6" w:rsidRPr="0032757F" w:rsidTr="00A91D45">
              <w:trPr>
                <w:trHeight w:val="247"/>
              </w:trPr>
              <w:tc>
                <w:tcPr>
                  <w:tcW w:w="5610" w:type="dxa"/>
                  <w:tcBorders>
                    <w:top w:val="single" w:sz="6" w:space="0" w:color="auto"/>
                    <w:left w:val="single" w:sz="4" w:space="0" w:color="auto"/>
                    <w:bottom w:val="single" w:sz="6"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Support meeting schedule</w:t>
                  </w:r>
                </w:p>
              </w:tc>
            </w:tr>
            <w:tr w:rsidR="002338C6" w:rsidRPr="0032757F" w:rsidTr="00A91D45">
              <w:trPr>
                <w:trHeight w:val="247"/>
              </w:trPr>
              <w:tc>
                <w:tcPr>
                  <w:tcW w:w="5610" w:type="dxa"/>
                  <w:tcBorders>
                    <w:top w:val="single" w:sz="6" w:space="0" w:color="auto"/>
                    <w:left w:val="single" w:sz="4" w:space="0" w:color="auto"/>
                    <w:bottom w:val="single" w:sz="4" w:space="0" w:color="auto"/>
                    <w:right w:val="single" w:sz="4" w:space="0" w:color="auto"/>
                  </w:tcBorders>
                </w:tcPr>
                <w:p w:rsidR="002338C6" w:rsidRPr="0032757F" w:rsidRDefault="002338C6" w:rsidP="00091338">
                  <w:pPr>
                    <w:autoSpaceDE w:val="0"/>
                    <w:autoSpaceDN w:val="0"/>
                    <w:adjustRightInd w:val="0"/>
                    <w:rPr>
                      <w:rFonts w:cs="Arial"/>
                      <w:color w:val="000000"/>
                      <w:lang w:eastAsia="en-GB"/>
                    </w:rPr>
                  </w:pPr>
                  <w:r w:rsidRPr="0032757F">
                    <w:rPr>
                      <w:rFonts w:cs="Arial"/>
                      <w:color w:val="000000"/>
                      <w:lang w:eastAsia="en-GB"/>
                    </w:rPr>
                    <w:t>Arrange evaluation and review meetings</w:t>
                  </w:r>
                </w:p>
              </w:tc>
            </w:tr>
          </w:tbl>
          <w:p w:rsidR="002338C6" w:rsidRPr="0032757F" w:rsidRDefault="002338C6" w:rsidP="00C16FFE">
            <w:pPr>
              <w:rPr>
                <w:rFonts w:cs="Calibri"/>
                <w:b/>
                <w:color w:val="548DD4"/>
              </w:rPr>
            </w:pPr>
          </w:p>
        </w:tc>
      </w:tr>
      <w:tr w:rsidR="002338C6" w:rsidRPr="0032757F" w:rsidTr="00DD198E">
        <w:tc>
          <w:tcPr>
            <w:tcW w:w="4503" w:type="dxa"/>
          </w:tcPr>
          <w:p w:rsidR="002338C6" w:rsidRPr="0032757F" w:rsidRDefault="002338C6" w:rsidP="003A63C6">
            <w:pPr>
              <w:pStyle w:val="NoSpacing"/>
              <w:numPr>
                <w:ilvl w:val="0"/>
                <w:numId w:val="9"/>
              </w:numPr>
            </w:pPr>
            <w:r w:rsidRPr="0032757F">
              <w:lastRenderedPageBreak/>
              <w:t xml:space="preserve">What </w:t>
            </w:r>
            <w:r w:rsidRPr="0032757F">
              <w:rPr>
                <w:lang w:eastAsia="en-GB"/>
              </w:rPr>
              <w:t>are the specific activities to be carried out by each partner?</w:t>
            </w:r>
          </w:p>
        </w:tc>
        <w:tc>
          <w:tcPr>
            <w:tcW w:w="4739" w:type="dxa"/>
          </w:tcPr>
          <w:p w:rsidR="002338C6" w:rsidRPr="00A91D45" w:rsidRDefault="002338C6" w:rsidP="00DD198E">
            <w:pPr>
              <w:pStyle w:val="NoSpacing"/>
              <w:rPr>
                <w:rFonts w:cs="Calibri"/>
                <w:b/>
                <w:color w:val="000000"/>
              </w:rPr>
            </w:pPr>
            <w:r w:rsidRPr="00A91D45">
              <w:rPr>
                <w:rFonts w:cs="Calibri"/>
                <w:b/>
                <w:color w:val="000000"/>
              </w:rPr>
              <w:t>As indicated in 3.2</w:t>
            </w:r>
          </w:p>
        </w:tc>
      </w:tr>
    </w:tbl>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354264">
      <w:pPr>
        <w:pStyle w:val="NoSpacing"/>
      </w:pPr>
    </w:p>
    <w:p w:rsidR="002338C6" w:rsidRPr="0032757F" w:rsidRDefault="002338C6" w:rsidP="00D82B49">
      <w:pPr>
        <w:pStyle w:val="NoSpacing"/>
        <w:jc w:val="center"/>
        <w:rPr>
          <w:i/>
        </w:rPr>
      </w:pPr>
      <w:r w:rsidRPr="0032757F">
        <w:br w:type="page"/>
      </w:r>
      <w:r w:rsidRPr="0032757F">
        <w:rPr>
          <w:i/>
        </w:rPr>
        <w:lastRenderedPageBreak/>
        <w:t>Appendix 1</w:t>
      </w:r>
    </w:p>
    <w:p w:rsidR="002338C6" w:rsidRPr="0032757F" w:rsidRDefault="002338C6" w:rsidP="00D82B49">
      <w:pPr>
        <w:spacing w:after="0" w:line="240" w:lineRule="auto"/>
        <w:jc w:val="center"/>
        <w:rPr>
          <w:b/>
        </w:rPr>
      </w:pPr>
      <w:r w:rsidRPr="0032757F">
        <w:rPr>
          <w:b/>
        </w:rPr>
        <w:t>Priority shifts in the ways that partners deliver services</w:t>
      </w:r>
    </w:p>
    <w:p w:rsidR="002338C6" w:rsidRPr="0032757F" w:rsidRDefault="002338C6" w:rsidP="00EE0A79">
      <w:pPr>
        <w:spacing w:after="0" w:line="240" w:lineRule="auto"/>
      </w:pPr>
    </w:p>
    <w:p w:rsidR="002338C6" w:rsidRPr="0032757F" w:rsidRDefault="002338C6" w:rsidP="00EE0A79">
      <w:pPr>
        <w:spacing w:after="0" w:line="240" w:lineRule="auto"/>
      </w:pPr>
    </w:p>
    <w:tbl>
      <w:tblPr>
        <w:tblW w:w="0" w:type="auto"/>
        <w:tblBorders>
          <w:top w:val="single" w:sz="4" w:space="0" w:color="BFBFBF"/>
          <w:bottom w:val="single" w:sz="4" w:space="0" w:color="BFBFBF"/>
          <w:insideH w:val="single" w:sz="4" w:space="0" w:color="BFBFBF"/>
          <w:insideV w:val="single" w:sz="4" w:space="0" w:color="BFBFBF"/>
        </w:tblBorders>
        <w:tblLook w:val="00A0"/>
      </w:tblPr>
      <w:tblGrid>
        <w:gridCol w:w="9242"/>
      </w:tblGrid>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Shift resources towards interventions that prevent ill health and reduce demand for acute and residential service</w:t>
            </w:r>
          </w:p>
          <w:p w:rsidR="002338C6" w:rsidRPr="0032757F" w:rsidRDefault="002338C6" w:rsidP="004426E7">
            <w:pPr>
              <w:spacing w:after="0" w:line="240" w:lineRule="auto"/>
            </w:pPr>
          </w:p>
        </w:tc>
      </w:tr>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Build the assets, skills and resources of our citizens and communities</w:t>
            </w:r>
          </w:p>
          <w:p w:rsidR="002338C6" w:rsidRPr="0032757F" w:rsidRDefault="002338C6" w:rsidP="004426E7">
            <w:pPr>
              <w:spacing w:after="0" w:line="240" w:lineRule="auto"/>
            </w:pPr>
          </w:p>
        </w:tc>
      </w:tr>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Promote and support greater individual self-care and responsibility for health; making better use of information technology and advice.</w:t>
            </w:r>
          </w:p>
          <w:p w:rsidR="002338C6" w:rsidRPr="0032757F" w:rsidRDefault="002338C6" w:rsidP="004426E7">
            <w:pPr>
              <w:spacing w:after="0" w:line="240" w:lineRule="auto"/>
            </w:pPr>
          </w:p>
        </w:tc>
      </w:tr>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Commit to delivering accessible services within communities; improving the experience of moving between primary, hospital and social care.</w:t>
            </w:r>
          </w:p>
          <w:p w:rsidR="002338C6" w:rsidRPr="0032757F" w:rsidRDefault="002338C6" w:rsidP="004426E7">
            <w:pPr>
              <w:spacing w:after="0" w:line="240" w:lineRule="auto"/>
            </w:pPr>
          </w:p>
        </w:tc>
      </w:tr>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Make joint working the default option; pooling budgets and resources to focus on priority outcomes, commissioning together on the basis of intelligence and evidence; sharing responsibilities for service delivery and combining services in the most effective way; sharing risk.</w:t>
            </w:r>
          </w:p>
          <w:p w:rsidR="002338C6" w:rsidRPr="0032757F" w:rsidRDefault="002338C6" w:rsidP="004426E7">
            <w:pPr>
              <w:spacing w:after="0" w:line="240" w:lineRule="auto"/>
            </w:pPr>
          </w:p>
        </w:tc>
      </w:tr>
      <w:tr w:rsidR="002338C6" w:rsidRPr="0032757F" w:rsidTr="00DD198E">
        <w:tc>
          <w:tcPr>
            <w:tcW w:w="9242" w:type="dxa"/>
          </w:tcPr>
          <w:p w:rsidR="002338C6" w:rsidRPr="0032757F" w:rsidRDefault="002338C6" w:rsidP="00DD198E">
            <w:pPr>
              <w:spacing w:after="0" w:line="240" w:lineRule="auto"/>
              <w:ind w:left="360"/>
            </w:pPr>
          </w:p>
          <w:p w:rsidR="002338C6" w:rsidRPr="0032757F" w:rsidRDefault="002338C6" w:rsidP="00DD198E">
            <w:pPr>
              <w:numPr>
                <w:ilvl w:val="0"/>
                <w:numId w:val="12"/>
              </w:numPr>
              <w:spacing w:after="0" w:line="240" w:lineRule="auto"/>
            </w:pPr>
            <w:r w:rsidRPr="0032757F">
              <w:t xml:space="preserve">Work to narrow the gap in health and wellbeing and its determinants </w:t>
            </w:r>
          </w:p>
          <w:p w:rsidR="002338C6" w:rsidRPr="0032757F" w:rsidRDefault="002338C6" w:rsidP="00DD198E">
            <w:pPr>
              <w:spacing w:after="0" w:line="240" w:lineRule="auto"/>
              <w:ind w:left="360"/>
            </w:pPr>
          </w:p>
        </w:tc>
      </w:tr>
    </w:tbl>
    <w:p w:rsidR="002338C6" w:rsidRPr="0032757F" w:rsidRDefault="002338C6" w:rsidP="004426E7">
      <w:pPr>
        <w:spacing w:after="0" w:line="240" w:lineRule="auto"/>
        <w:ind w:left="360"/>
      </w:pPr>
    </w:p>
    <w:p w:rsidR="002338C6" w:rsidRPr="0032757F" w:rsidRDefault="002338C6" w:rsidP="00EE0A79">
      <w:pPr>
        <w:spacing w:after="0" w:line="240" w:lineRule="auto"/>
      </w:pPr>
    </w:p>
    <w:p w:rsidR="002338C6" w:rsidRPr="0032757F" w:rsidRDefault="002338C6" w:rsidP="002B30BE">
      <w:pPr>
        <w:pStyle w:val="NoSpacing"/>
      </w:pPr>
    </w:p>
    <w:p w:rsidR="002338C6" w:rsidRPr="0032757F" w:rsidRDefault="002338C6" w:rsidP="002B30BE">
      <w:pPr>
        <w:pStyle w:val="NoSpacing"/>
      </w:pPr>
    </w:p>
    <w:sectPr w:rsidR="002338C6" w:rsidRPr="0032757F" w:rsidSect="00A56C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C6" w:rsidRDefault="002338C6" w:rsidP="002B30BE">
      <w:pPr>
        <w:spacing w:after="0" w:line="240" w:lineRule="auto"/>
      </w:pPr>
      <w:r>
        <w:separator/>
      </w:r>
    </w:p>
  </w:endnote>
  <w:endnote w:type="continuationSeparator" w:id="0">
    <w:p w:rsidR="002338C6" w:rsidRDefault="002338C6"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C6" w:rsidRDefault="00522B43">
    <w:pPr>
      <w:pStyle w:val="Footer"/>
      <w:jc w:val="right"/>
    </w:pPr>
    <w:fldSimple w:instr=" PAGE   \* MERGEFORMAT ">
      <w:r w:rsidR="00CD38E1">
        <w:rPr>
          <w:noProof/>
        </w:rPr>
        <w:t>2</w:t>
      </w:r>
    </w:fldSimple>
  </w:p>
  <w:p w:rsidR="002338C6" w:rsidRDefault="00233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C6" w:rsidRDefault="002338C6" w:rsidP="002B30BE">
      <w:pPr>
        <w:spacing w:after="0" w:line="240" w:lineRule="auto"/>
      </w:pPr>
      <w:r>
        <w:separator/>
      </w:r>
    </w:p>
  </w:footnote>
  <w:footnote w:type="continuationSeparator" w:id="0">
    <w:p w:rsidR="002338C6" w:rsidRDefault="002338C6" w:rsidP="002B3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C6" w:rsidRDefault="00522B4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10"/>
    <w:multiLevelType w:val="hybridMultilevel"/>
    <w:tmpl w:val="1D4063C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color w:val="76923C"/>
        <w:sz w:val="24"/>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A65AB9"/>
    <w:multiLevelType w:val="hybridMultilevel"/>
    <w:tmpl w:val="71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701DD"/>
    <w:multiLevelType w:val="hybridMultilevel"/>
    <w:tmpl w:val="758C0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6B0421"/>
    <w:multiLevelType w:val="hybridMultilevel"/>
    <w:tmpl w:val="3AF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0D02"/>
    <w:multiLevelType w:val="multilevel"/>
    <w:tmpl w:val="809C3DAA"/>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F151D54"/>
    <w:multiLevelType w:val="hybridMultilevel"/>
    <w:tmpl w:val="8BDE570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75049A"/>
    <w:multiLevelType w:val="hybridMultilevel"/>
    <w:tmpl w:val="BC90570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9353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60E28CD"/>
    <w:multiLevelType w:val="hybridMultilevel"/>
    <w:tmpl w:val="4790F5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0381E8F"/>
    <w:multiLevelType w:val="hybridMultilevel"/>
    <w:tmpl w:val="9C8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07936"/>
    <w:multiLevelType w:val="hybridMultilevel"/>
    <w:tmpl w:val="1172C53A"/>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474A7A"/>
    <w:multiLevelType w:val="hybridMultilevel"/>
    <w:tmpl w:val="673263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3B7E1B62"/>
    <w:multiLevelType w:val="hybridMultilevel"/>
    <w:tmpl w:val="5B427392"/>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F1C32"/>
    <w:multiLevelType w:val="hybridMultilevel"/>
    <w:tmpl w:val="DC24EB18"/>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C8486A"/>
    <w:multiLevelType w:val="hybridMultilevel"/>
    <w:tmpl w:val="9BEA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3C6E81"/>
    <w:multiLevelType w:val="hybridMultilevel"/>
    <w:tmpl w:val="5EEA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F0058C"/>
    <w:multiLevelType w:val="hybridMultilevel"/>
    <w:tmpl w:val="FC32D2E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E32C82"/>
    <w:multiLevelType w:val="hybridMultilevel"/>
    <w:tmpl w:val="D9E25D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63325077"/>
    <w:multiLevelType w:val="hybridMultilevel"/>
    <w:tmpl w:val="91805E4E"/>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E726B1"/>
    <w:multiLevelType w:val="hybridMultilevel"/>
    <w:tmpl w:val="FB929DE6"/>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9358F"/>
    <w:multiLevelType w:val="hybridMultilevel"/>
    <w:tmpl w:val="96BC43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8"/>
  </w:num>
  <w:num w:numId="2">
    <w:abstractNumId w:val="8"/>
  </w:num>
  <w:num w:numId="3">
    <w:abstractNumId w:val="20"/>
  </w:num>
  <w:num w:numId="4">
    <w:abstractNumId w:val="15"/>
  </w:num>
  <w:num w:numId="5">
    <w:abstractNumId w:val="9"/>
  </w:num>
  <w:num w:numId="6">
    <w:abstractNumId w:val="22"/>
  </w:num>
  <w:num w:numId="7">
    <w:abstractNumId w:val="11"/>
  </w:num>
  <w:num w:numId="8">
    <w:abstractNumId w:val="10"/>
  </w:num>
  <w:num w:numId="9">
    <w:abstractNumId w:val="0"/>
  </w:num>
  <w:num w:numId="10">
    <w:abstractNumId w:val="13"/>
  </w:num>
  <w:num w:numId="11">
    <w:abstractNumId w:val="12"/>
  </w:num>
  <w:num w:numId="12">
    <w:abstractNumId w:val="21"/>
  </w:num>
  <w:num w:numId="13">
    <w:abstractNumId w:val="4"/>
  </w:num>
  <w:num w:numId="14">
    <w:abstractNumId w:val="17"/>
  </w:num>
  <w:num w:numId="15">
    <w:abstractNumId w:val="19"/>
  </w:num>
  <w:num w:numId="16">
    <w:abstractNumId w:val="3"/>
  </w:num>
  <w:num w:numId="17">
    <w:abstractNumId w:val="5"/>
  </w:num>
  <w:num w:numId="18">
    <w:abstractNumId w:val="6"/>
  </w:num>
  <w:num w:numId="19">
    <w:abstractNumId w:val="14"/>
  </w:num>
  <w:num w:numId="20">
    <w:abstractNumId w:val="1"/>
  </w:num>
  <w:num w:numId="21">
    <w:abstractNumId w:val="16"/>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B30BE"/>
    <w:rsid w:val="00030B71"/>
    <w:rsid w:val="000406A0"/>
    <w:rsid w:val="00091338"/>
    <w:rsid w:val="000A59DE"/>
    <w:rsid w:val="000A64E6"/>
    <w:rsid w:val="000F140D"/>
    <w:rsid w:val="001066FE"/>
    <w:rsid w:val="001672CA"/>
    <w:rsid w:val="00194FCE"/>
    <w:rsid w:val="001A0B23"/>
    <w:rsid w:val="001E20E1"/>
    <w:rsid w:val="001F7B75"/>
    <w:rsid w:val="002106D4"/>
    <w:rsid w:val="002119EE"/>
    <w:rsid w:val="002338C6"/>
    <w:rsid w:val="00251F88"/>
    <w:rsid w:val="002A6A74"/>
    <w:rsid w:val="002B30BE"/>
    <w:rsid w:val="002B56BF"/>
    <w:rsid w:val="002C00D1"/>
    <w:rsid w:val="002F2862"/>
    <w:rsid w:val="00305962"/>
    <w:rsid w:val="0032757F"/>
    <w:rsid w:val="00354264"/>
    <w:rsid w:val="0036046C"/>
    <w:rsid w:val="00361872"/>
    <w:rsid w:val="003A63C6"/>
    <w:rsid w:val="00423C18"/>
    <w:rsid w:val="00423C92"/>
    <w:rsid w:val="00426BA9"/>
    <w:rsid w:val="00433B60"/>
    <w:rsid w:val="004426E7"/>
    <w:rsid w:val="00474086"/>
    <w:rsid w:val="004C4C31"/>
    <w:rsid w:val="00522B43"/>
    <w:rsid w:val="00527843"/>
    <w:rsid w:val="005525A5"/>
    <w:rsid w:val="0056144A"/>
    <w:rsid w:val="00572DCA"/>
    <w:rsid w:val="0057328E"/>
    <w:rsid w:val="0057666D"/>
    <w:rsid w:val="005C1D6B"/>
    <w:rsid w:val="005D5372"/>
    <w:rsid w:val="005D5430"/>
    <w:rsid w:val="0063505D"/>
    <w:rsid w:val="0067496F"/>
    <w:rsid w:val="006979B7"/>
    <w:rsid w:val="006F2221"/>
    <w:rsid w:val="007654FF"/>
    <w:rsid w:val="00777DFE"/>
    <w:rsid w:val="00787B73"/>
    <w:rsid w:val="00791284"/>
    <w:rsid w:val="007918E1"/>
    <w:rsid w:val="00821E9D"/>
    <w:rsid w:val="008457E5"/>
    <w:rsid w:val="008C496F"/>
    <w:rsid w:val="008F719D"/>
    <w:rsid w:val="00901F69"/>
    <w:rsid w:val="00927E89"/>
    <w:rsid w:val="0093139F"/>
    <w:rsid w:val="00935481"/>
    <w:rsid w:val="009E7C3D"/>
    <w:rsid w:val="00A37173"/>
    <w:rsid w:val="00A475D1"/>
    <w:rsid w:val="00A5243C"/>
    <w:rsid w:val="00A566A4"/>
    <w:rsid w:val="00A56CD8"/>
    <w:rsid w:val="00A91D45"/>
    <w:rsid w:val="00A91FEA"/>
    <w:rsid w:val="00AE3B73"/>
    <w:rsid w:val="00AF55BD"/>
    <w:rsid w:val="00B4017A"/>
    <w:rsid w:val="00B542BE"/>
    <w:rsid w:val="00B627EC"/>
    <w:rsid w:val="00BC4D32"/>
    <w:rsid w:val="00C16FFE"/>
    <w:rsid w:val="00C939C0"/>
    <w:rsid w:val="00CD38E1"/>
    <w:rsid w:val="00D15C1C"/>
    <w:rsid w:val="00D17E88"/>
    <w:rsid w:val="00D4668D"/>
    <w:rsid w:val="00D528E9"/>
    <w:rsid w:val="00D53B7F"/>
    <w:rsid w:val="00D53C0E"/>
    <w:rsid w:val="00D82B49"/>
    <w:rsid w:val="00D83E1F"/>
    <w:rsid w:val="00DA3C3E"/>
    <w:rsid w:val="00DD198E"/>
    <w:rsid w:val="00DD3611"/>
    <w:rsid w:val="00DF0A28"/>
    <w:rsid w:val="00DF4F15"/>
    <w:rsid w:val="00E17DF7"/>
    <w:rsid w:val="00E3541C"/>
    <w:rsid w:val="00E36AF5"/>
    <w:rsid w:val="00ED197D"/>
    <w:rsid w:val="00ED420C"/>
    <w:rsid w:val="00EE0A79"/>
    <w:rsid w:val="00EE550D"/>
    <w:rsid w:val="00F251F5"/>
    <w:rsid w:val="00F33A88"/>
    <w:rsid w:val="00F37643"/>
    <w:rsid w:val="00F83C8C"/>
    <w:rsid w:val="00F87960"/>
    <w:rsid w:val="00FA4A96"/>
    <w:rsid w:val="00FB35B4"/>
    <w:rsid w:val="00FD7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30BE"/>
    <w:rPr>
      <w:lang w:eastAsia="en-US"/>
    </w:rPr>
  </w:style>
  <w:style w:type="table" w:styleId="TableGrid">
    <w:name w:val="Table Grid"/>
    <w:basedOn w:val="TableNormal"/>
    <w:uiPriority w:val="99"/>
    <w:rsid w:val="002B30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30BE"/>
    <w:rPr>
      <w:sz w:val="20"/>
      <w:szCs w:val="20"/>
      <w:lang w:eastAsia="en-GB"/>
    </w:rPr>
  </w:style>
  <w:style w:type="character" w:customStyle="1" w:styleId="FootnoteTextChar">
    <w:name w:val="Footnote Text Char"/>
    <w:basedOn w:val="DefaultParagraphFont"/>
    <w:link w:val="FootnoteText"/>
    <w:uiPriority w:val="99"/>
    <w:semiHidden/>
    <w:locked/>
    <w:rsid w:val="002B30BE"/>
    <w:rPr>
      <w:rFonts w:ascii="Calibri" w:hAnsi="Calibri" w:cs="Times New Roman"/>
      <w:sz w:val="20"/>
    </w:rPr>
  </w:style>
  <w:style w:type="character" w:styleId="FootnoteReference">
    <w:name w:val="footnote reference"/>
    <w:basedOn w:val="DefaultParagraphFont"/>
    <w:uiPriority w:val="99"/>
    <w:semiHidden/>
    <w:rsid w:val="002B30BE"/>
    <w:rPr>
      <w:rFonts w:cs="Times New Roman"/>
      <w:vertAlign w:val="superscript"/>
    </w:rPr>
  </w:style>
  <w:style w:type="paragraph" w:styleId="EndnoteText">
    <w:name w:val="endnote text"/>
    <w:basedOn w:val="Normal"/>
    <w:link w:val="EndnoteTextChar"/>
    <w:uiPriority w:val="99"/>
    <w:semiHidden/>
    <w:rsid w:val="002B30BE"/>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2B30BE"/>
    <w:rPr>
      <w:rFonts w:ascii="Calibri" w:hAnsi="Calibri" w:cs="Times New Roman"/>
      <w:sz w:val="20"/>
    </w:rPr>
  </w:style>
  <w:style w:type="character" w:styleId="EndnoteReference">
    <w:name w:val="endnote reference"/>
    <w:basedOn w:val="DefaultParagraphFont"/>
    <w:uiPriority w:val="99"/>
    <w:semiHidden/>
    <w:rsid w:val="002B30BE"/>
    <w:rPr>
      <w:rFonts w:cs="Times New Roman"/>
      <w:vertAlign w:val="superscript"/>
    </w:rPr>
  </w:style>
  <w:style w:type="paragraph" w:styleId="Header">
    <w:name w:val="header"/>
    <w:basedOn w:val="Normal"/>
    <w:link w:val="HeaderChar"/>
    <w:uiPriority w:val="99"/>
    <w:semiHidden/>
    <w:rsid w:val="0036046C"/>
    <w:pPr>
      <w:tabs>
        <w:tab w:val="center" w:pos="4513"/>
        <w:tab w:val="right" w:pos="9026"/>
      </w:tabs>
    </w:pPr>
  </w:style>
  <w:style w:type="character" w:customStyle="1" w:styleId="HeaderChar">
    <w:name w:val="Header Char"/>
    <w:basedOn w:val="DefaultParagraphFont"/>
    <w:link w:val="Header"/>
    <w:uiPriority w:val="99"/>
    <w:semiHidden/>
    <w:locked/>
    <w:rsid w:val="0036046C"/>
    <w:rPr>
      <w:rFonts w:cs="Times New Roman"/>
      <w:sz w:val="22"/>
      <w:lang w:eastAsia="en-US"/>
    </w:rPr>
  </w:style>
  <w:style w:type="paragraph" w:styleId="Footer">
    <w:name w:val="footer"/>
    <w:basedOn w:val="Normal"/>
    <w:link w:val="FooterChar"/>
    <w:uiPriority w:val="99"/>
    <w:rsid w:val="0036046C"/>
    <w:pPr>
      <w:tabs>
        <w:tab w:val="center" w:pos="4513"/>
        <w:tab w:val="right" w:pos="9026"/>
      </w:tabs>
    </w:pPr>
  </w:style>
  <w:style w:type="character" w:customStyle="1" w:styleId="FooterChar">
    <w:name w:val="Footer Char"/>
    <w:basedOn w:val="DefaultParagraphFont"/>
    <w:link w:val="Footer"/>
    <w:uiPriority w:val="99"/>
    <w:locked/>
    <w:rsid w:val="0036046C"/>
    <w:rPr>
      <w:rFonts w:cs="Times New Roman"/>
      <w:sz w:val="22"/>
      <w:lang w:eastAsia="en-US"/>
    </w:rPr>
  </w:style>
  <w:style w:type="table" w:customStyle="1" w:styleId="TableGrid1">
    <w:name w:val="Table Grid1"/>
    <w:uiPriority w:val="99"/>
    <w:rsid w:val="00EE0A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1284"/>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rsid w:val="0093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48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43915528">
      <w:marLeft w:val="0"/>
      <w:marRight w:val="0"/>
      <w:marTop w:val="0"/>
      <w:marBottom w:val="0"/>
      <w:divBdr>
        <w:top w:val="none" w:sz="0" w:space="0" w:color="auto"/>
        <w:left w:val="none" w:sz="0" w:space="0" w:color="auto"/>
        <w:bottom w:val="none" w:sz="0" w:space="0" w:color="auto"/>
        <w:right w:val="none" w:sz="0" w:space="0" w:color="auto"/>
      </w:divBdr>
      <w:divsChild>
        <w:div w:id="743915532">
          <w:marLeft w:val="0"/>
          <w:marRight w:val="0"/>
          <w:marTop w:val="0"/>
          <w:marBottom w:val="0"/>
          <w:divBdr>
            <w:top w:val="none" w:sz="0" w:space="0" w:color="auto"/>
            <w:left w:val="none" w:sz="0" w:space="0" w:color="auto"/>
            <w:bottom w:val="none" w:sz="0" w:space="0" w:color="auto"/>
            <w:right w:val="none" w:sz="0" w:space="0" w:color="auto"/>
          </w:divBdr>
          <w:divsChild>
            <w:div w:id="743915543">
              <w:marLeft w:val="0"/>
              <w:marRight w:val="0"/>
              <w:marTop w:val="0"/>
              <w:marBottom w:val="0"/>
              <w:divBdr>
                <w:top w:val="none" w:sz="0" w:space="0" w:color="auto"/>
                <w:left w:val="none" w:sz="0" w:space="0" w:color="auto"/>
                <w:bottom w:val="none" w:sz="0" w:space="0" w:color="auto"/>
                <w:right w:val="none" w:sz="0" w:space="0" w:color="auto"/>
              </w:divBdr>
              <w:divsChild>
                <w:div w:id="743915548">
                  <w:marLeft w:val="0"/>
                  <w:marRight w:val="0"/>
                  <w:marTop w:val="0"/>
                  <w:marBottom w:val="0"/>
                  <w:divBdr>
                    <w:top w:val="none" w:sz="0" w:space="0" w:color="auto"/>
                    <w:left w:val="none" w:sz="0" w:space="0" w:color="auto"/>
                    <w:bottom w:val="none" w:sz="0" w:space="0" w:color="auto"/>
                    <w:right w:val="none" w:sz="0" w:space="0" w:color="auto"/>
                  </w:divBdr>
                  <w:divsChild>
                    <w:div w:id="743915533">
                      <w:marLeft w:val="0"/>
                      <w:marRight w:val="0"/>
                      <w:marTop w:val="0"/>
                      <w:marBottom w:val="0"/>
                      <w:divBdr>
                        <w:top w:val="none" w:sz="0" w:space="0" w:color="auto"/>
                        <w:left w:val="none" w:sz="0" w:space="0" w:color="auto"/>
                        <w:bottom w:val="none" w:sz="0" w:space="0" w:color="auto"/>
                        <w:right w:val="none" w:sz="0" w:space="0" w:color="auto"/>
                      </w:divBdr>
                      <w:divsChild>
                        <w:div w:id="743915546">
                          <w:marLeft w:val="0"/>
                          <w:marRight w:val="0"/>
                          <w:marTop w:val="0"/>
                          <w:marBottom w:val="0"/>
                          <w:divBdr>
                            <w:top w:val="none" w:sz="0" w:space="0" w:color="auto"/>
                            <w:left w:val="none" w:sz="0" w:space="0" w:color="auto"/>
                            <w:bottom w:val="none" w:sz="0" w:space="0" w:color="auto"/>
                            <w:right w:val="none" w:sz="0" w:space="0" w:color="auto"/>
                          </w:divBdr>
                          <w:divsChild>
                            <w:div w:id="743915544">
                              <w:marLeft w:val="0"/>
                              <w:marRight w:val="0"/>
                              <w:marTop w:val="0"/>
                              <w:marBottom w:val="0"/>
                              <w:divBdr>
                                <w:top w:val="none" w:sz="0" w:space="0" w:color="auto"/>
                                <w:left w:val="none" w:sz="0" w:space="0" w:color="auto"/>
                                <w:bottom w:val="none" w:sz="0" w:space="0" w:color="auto"/>
                                <w:right w:val="none" w:sz="0" w:space="0" w:color="auto"/>
                              </w:divBdr>
                              <w:divsChild>
                                <w:div w:id="743915538">
                                  <w:marLeft w:val="0"/>
                                  <w:marRight w:val="0"/>
                                  <w:marTop w:val="0"/>
                                  <w:marBottom w:val="0"/>
                                  <w:divBdr>
                                    <w:top w:val="none" w:sz="0" w:space="0" w:color="auto"/>
                                    <w:left w:val="none" w:sz="0" w:space="0" w:color="auto"/>
                                    <w:bottom w:val="none" w:sz="0" w:space="0" w:color="auto"/>
                                    <w:right w:val="none" w:sz="0" w:space="0" w:color="auto"/>
                                  </w:divBdr>
                                  <w:divsChild>
                                    <w:div w:id="743915549">
                                      <w:marLeft w:val="0"/>
                                      <w:marRight w:val="0"/>
                                      <w:marTop w:val="0"/>
                                      <w:marBottom w:val="0"/>
                                      <w:divBdr>
                                        <w:top w:val="none" w:sz="0" w:space="0" w:color="auto"/>
                                        <w:left w:val="none" w:sz="0" w:space="0" w:color="auto"/>
                                        <w:bottom w:val="none" w:sz="0" w:space="0" w:color="auto"/>
                                        <w:right w:val="none" w:sz="0" w:space="0" w:color="auto"/>
                                      </w:divBdr>
                                      <w:divsChild>
                                        <w:div w:id="743915534">
                                          <w:marLeft w:val="0"/>
                                          <w:marRight w:val="0"/>
                                          <w:marTop w:val="0"/>
                                          <w:marBottom w:val="0"/>
                                          <w:divBdr>
                                            <w:top w:val="none" w:sz="0" w:space="0" w:color="auto"/>
                                            <w:left w:val="none" w:sz="0" w:space="0" w:color="auto"/>
                                            <w:bottom w:val="none" w:sz="0" w:space="0" w:color="auto"/>
                                            <w:right w:val="none" w:sz="0" w:space="0" w:color="auto"/>
                                          </w:divBdr>
                                          <w:divsChild>
                                            <w:div w:id="743915537">
                                              <w:marLeft w:val="0"/>
                                              <w:marRight w:val="0"/>
                                              <w:marTop w:val="0"/>
                                              <w:marBottom w:val="0"/>
                                              <w:divBdr>
                                                <w:top w:val="none" w:sz="0" w:space="0" w:color="auto"/>
                                                <w:left w:val="none" w:sz="0" w:space="0" w:color="auto"/>
                                                <w:bottom w:val="none" w:sz="0" w:space="0" w:color="auto"/>
                                                <w:right w:val="none" w:sz="0" w:space="0" w:color="auto"/>
                                              </w:divBdr>
                                              <w:divsChild>
                                                <w:div w:id="743915547">
                                                  <w:marLeft w:val="0"/>
                                                  <w:marRight w:val="0"/>
                                                  <w:marTop w:val="0"/>
                                                  <w:marBottom w:val="0"/>
                                                  <w:divBdr>
                                                    <w:top w:val="none" w:sz="0" w:space="0" w:color="auto"/>
                                                    <w:left w:val="none" w:sz="0" w:space="0" w:color="auto"/>
                                                    <w:bottom w:val="none" w:sz="0" w:space="0" w:color="auto"/>
                                                    <w:right w:val="none" w:sz="0" w:space="0" w:color="auto"/>
                                                  </w:divBdr>
                                                  <w:divsChild>
                                                    <w:div w:id="743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5536">
      <w:marLeft w:val="0"/>
      <w:marRight w:val="0"/>
      <w:marTop w:val="0"/>
      <w:marBottom w:val="0"/>
      <w:divBdr>
        <w:top w:val="none" w:sz="0" w:space="0" w:color="auto"/>
        <w:left w:val="none" w:sz="0" w:space="0" w:color="auto"/>
        <w:bottom w:val="none" w:sz="0" w:space="0" w:color="auto"/>
        <w:right w:val="none" w:sz="0" w:space="0" w:color="auto"/>
      </w:divBdr>
      <w:divsChild>
        <w:div w:id="743915529">
          <w:marLeft w:val="0"/>
          <w:marRight w:val="0"/>
          <w:marTop w:val="0"/>
          <w:marBottom w:val="0"/>
          <w:divBdr>
            <w:top w:val="none" w:sz="0" w:space="0" w:color="auto"/>
            <w:left w:val="none" w:sz="0" w:space="0" w:color="auto"/>
            <w:bottom w:val="none" w:sz="0" w:space="0" w:color="auto"/>
            <w:right w:val="none" w:sz="0" w:space="0" w:color="auto"/>
          </w:divBdr>
          <w:divsChild>
            <w:div w:id="743915542">
              <w:marLeft w:val="0"/>
              <w:marRight w:val="0"/>
              <w:marTop w:val="0"/>
              <w:marBottom w:val="0"/>
              <w:divBdr>
                <w:top w:val="none" w:sz="0" w:space="0" w:color="auto"/>
                <w:left w:val="none" w:sz="0" w:space="0" w:color="auto"/>
                <w:bottom w:val="none" w:sz="0" w:space="0" w:color="auto"/>
                <w:right w:val="none" w:sz="0" w:space="0" w:color="auto"/>
              </w:divBdr>
              <w:divsChild>
                <w:div w:id="743915545">
                  <w:marLeft w:val="0"/>
                  <w:marRight w:val="0"/>
                  <w:marTop w:val="0"/>
                  <w:marBottom w:val="0"/>
                  <w:divBdr>
                    <w:top w:val="none" w:sz="0" w:space="0" w:color="auto"/>
                    <w:left w:val="none" w:sz="0" w:space="0" w:color="auto"/>
                    <w:bottom w:val="none" w:sz="0" w:space="0" w:color="auto"/>
                    <w:right w:val="none" w:sz="0" w:space="0" w:color="auto"/>
                  </w:divBdr>
                  <w:divsChild>
                    <w:div w:id="743915530">
                      <w:marLeft w:val="0"/>
                      <w:marRight w:val="0"/>
                      <w:marTop w:val="0"/>
                      <w:marBottom w:val="0"/>
                      <w:divBdr>
                        <w:top w:val="none" w:sz="0" w:space="0" w:color="auto"/>
                        <w:left w:val="none" w:sz="0" w:space="0" w:color="auto"/>
                        <w:bottom w:val="none" w:sz="0" w:space="0" w:color="auto"/>
                        <w:right w:val="none" w:sz="0" w:space="0" w:color="auto"/>
                      </w:divBdr>
                      <w:divsChild>
                        <w:div w:id="743915531">
                          <w:marLeft w:val="0"/>
                          <w:marRight w:val="0"/>
                          <w:marTop w:val="0"/>
                          <w:marBottom w:val="0"/>
                          <w:divBdr>
                            <w:top w:val="none" w:sz="0" w:space="0" w:color="auto"/>
                            <w:left w:val="none" w:sz="0" w:space="0" w:color="auto"/>
                            <w:bottom w:val="none" w:sz="0" w:space="0" w:color="auto"/>
                            <w:right w:val="none" w:sz="0" w:space="0" w:color="auto"/>
                          </w:divBdr>
                          <w:divsChild>
                            <w:div w:id="743915550">
                              <w:marLeft w:val="0"/>
                              <w:marRight w:val="0"/>
                              <w:marTop w:val="0"/>
                              <w:marBottom w:val="0"/>
                              <w:divBdr>
                                <w:top w:val="none" w:sz="0" w:space="0" w:color="auto"/>
                                <w:left w:val="none" w:sz="0" w:space="0" w:color="auto"/>
                                <w:bottom w:val="none" w:sz="0" w:space="0" w:color="auto"/>
                                <w:right w:val="none" w:sz="0" w:space="0" w:color="auto"/>
                              </w:divBdr>
                              <w:divsChild>
                                <w:div w:id="743915527">
                                  <w:marLeft w:val="0"/>
                                  <w:marRight w:val="0"/>
                                  <w:marTop w:val="0"/>
                                  <w:marBottom w:val="0"/>
                                  <w:divBdr>
                                    <w:top w:val="none" w:sz="0" w:space="0" w:color="auto"/>
                                    <w:left w:val="none" w:sz="0" w:space="0" w:color="auto"/>
                                    <w:bottom w:val="none" w:sz="0" w:space="0" w:color="auto"/>
                                    <w:right w:val="none" w:sz="0" w:space="0" w:color="auto"/>
                                  </w:divBdr>
                                  <w:divsChild>
                                    <w:div w:id="743915535">
                                      <w:marLeft w:val="0"/>
                                      <w:marRight w:val="0"/>
                                      <w:marTop w:val="0"/>
                                      <w:marBottom w:val="0"/>
                                      <w:divBdr>
                                        <w:top w:val="none" w:sz="0" w:space="0" w:color="auto"/>
                                        <w:left w:val="none" w:sz="0" w:space="0" w:color="auto"/>
                                        <w:bottom w:val="none" w:sz="0" w:space="0" w:color="auto"/>
                                        <w:right w:val="none" w:sz="0" w:space="0" w:color="auto"/>
                                      </w:divBdr>
                                      <w:divsChild>
                                        <w:div w:id="743915539">
                                          <w:marLeft w:val="0"/>
                                          <w:marRight w:val="0"/>
                                          <w:marTop w:val="0"/>
                                          <w:marBottom w:val="0"/>
                                          <w:divBdr>
                                            <w:top w:val="none" w:sz="0" w:space="0" w:color="auto"/>
                                            <w:left w:val="none" w:sz="0" w:space="0" w:color="auto"/>
                                            <w:bottom w:val="none" w:sz="0" w:space="0" w:color="auto"/>
                                            <w:right w:val="none" w:sz="0" w:space="0" w:color="auto"/>
                                          </w:divBdr>
                                          <w:divsChild>
                                            <w:div w:id="743915551">
                                              <w:marLeft w:val="0"/>
                                              <w:marRight w:val="0"/>
                                              <w:marTop w:val="0"/>
                                              <w:marBottom w:val="0"/>
                                              <w:divBdr>
                                                <w:top w:val="none" w:sz="0" w:space="0" w:color="auto"/>
                                                <w:left w:val="none" w:sz="0" w:space="0" w:color="auto"/>
                                                <w:bottom w:val="none" w:sz="0" w:space="0" w:color="auto"/>
                                                <w:right w:val="none" w:sz="0" w:space="0" w:color="auto"/>
                                              </w:divBdr>
                                              <w:divsChild>
                                                <w:div w:id="743915540">
                                                  <w:marLeft w:val="0"/>
                                                  <w:marRight w:val="0"/>
                                                  <w:marTop w:val="0"/>
                                                  <w:marBottom w:val="0"/>
                                                  <w:divBdr>
                                                    <w:top w:val="none" w:sz="0" w:space="0" w:color="auto"/>
                                                    <w:left w:val="none" w:sz="0" w:space="0" w:color="auto"/>
                                                    <w:bottom w:val="none" w:sz="0" w:space="0" w:color="auto"/>
                                                    <w:right w:val="none" w:sz="0" w:space="0" w:color="auto"/>
                                                  </w:divBdr>
                                                  <w:divsChild>
                                                    <w:div w:id="743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10080</Characters>
  <Application>Microsoft Office Word</Application>
  <DocSecurity>0</DocSecurity>
  <Lines>84</Lines>
  <Paragraphs>23</Paragraphs>
  <ScaleCrop>false</ScaleCrop>
  <Company>HP</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dc:creator>
  <cp:keywords/>
  <dc:description/>
  <cp:lastModifiedBy>hpatel001</cp:lastModifiedBy>
  <cp:revision>2</cp:revision>
  <cp:lastPrinted>2012-06-14T13:10:00Z</cp:lastPrinted>
  <dcterms:created xsi:type="dcterms:W3CDTF">2012-07-06T13:05:00Z</dcterms:created>
  <dcterms:modified xsi:type="dcterms:W3CDTF">2012-07-06T13:05:00Z</dcterms:modified>
</cp:coreProperties>
</file>